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D9" w:rsidRDefault="00176CD9" w:rsidP="0034362F">
      <w:pPr>
        <w:pStyle w:val="Brezrazmikov"/>
        <w:spacing w:line="360" w:lineRule="auto"/>
        <w:rPr>
          <w:rFonts w:eastAsia="Times New Roman"/>
          <w:b/>
          <w:u w:val="single"/>
        </w:rPr>
      </w:pPr>
      <w:r>
        <w:rPr>
          <w:b/>
          <w:color w:val="000000"/>
          <w:u w:val="single"/>
        </w:rPr>
        <w:t>Postsocialist care-violence-paternalism</w:t>
      </w:r>
      <w:r>
        <w:rPr>
          <w:rFonts w:eastAsia="Times New Roman"/>
          <w:b/>
          <w:u w:val="single"/>
        </w:rPr>
        <w:t xml:space="preserve"> </w:t>
      </w:r>
      <w:bookmarkStart w:id="0" w:name="_GoBack"/>
      <w:bookmarkEnd w:id="0"/>
    </w:p>
    <w:p w:rsidR="00176CD9" w:rsidRPr="006D11FA" w:rsidRDefault="00176CD9" w:rsidP="0034362F">
      <w:pPr>
        <w:pStyle w:val="Brezrazmikov"/>
        <w:spacing w:line="360" w:lineRule="auto"/>
        <w:rPr>
          <w:rFonts w:eastAsia="Times New Roman"/>
          <w:b/>
        </w:rPr>
      </w:pPr>
      <w:r w:rsidRPr="006D11FA">
        <w:rPr>
          <w:rFonts w:eastAsia="Times New Roman"/>
          <w:b/>
        </w:rPr>
        <w:t xml:space="preserve">Darja Zaviršek </w:t>
      </w:r>
    </w:p>
    <w:p w:rsidR="00176CD9" w:rsidRDefault="00176CD9" w:rsidP="0034362F">
      <w:pPr>
        <w:pStyle w:val="Brezrazmikov"/>
        <w:spacing w:line="360" w:lineRule="auto"/>
        <w:rPr>
          <w:color w:val="000000"/>
        </w:rPr>
      </w:pPr>
    </w:p>
    <w:p w:rsidR="00176CD9" w:rsidRDefault="00176CD9" w:rsidP="0034362F">
      <w:pPr>
        <w:pStyle w:val="Brezrazmikov"/>
        <w:spacing w:line="360" w:lineRule="auto"/>
        <w:rPr>
          <w:color w:val="000000"/>
        </w:rPr>
      </w:pPr>
    </w:p>
    <w:p w:rsidR="00176CD9" w:rsidRDefault="00176CD9" w:rsidP="0034362F">
      <w:pPr>
        <w:pStyle w:val="Brezrazmikov"/>
        <w:spacing w:line="360" w:lineRule="auto"/>
        <w:rPr>
          <w:color w:val="000000"/>
        </w:rPr>
      </w:pPr>
      <w:r>
        <w:rPr>
          <w:color w:val="000000"/>
        </w:rPr>
        <w:t>The belated deinstitutionalization in post-communist societies is part of postsocialist care-violence-paternalism, economic scarcity, fear of impoverishment and a transgenerational aversion towards disabled people. In Slovenia alone, more than 22.000 children and adults experience today spatial segregation, loss of choices, and long-term institutionalization.</w:t>
      </w:r>
    </w:p>
    <w:p w:rsidR="00176CD9" w:rsidRDefault="00176CD9" w:rsidP="0034362F">
      <w:pPr>
        <w:pStyle w:val="Brezrazmikov"/>
        <w:spacing w:line="360" w:lineRule="auto"/>
        <w:rPr>
          <w:rFonts w:eastAsia="Times New Roman"/>
        </w:rPr>
      </w:pPr>
      <w:r>
        <w:rPr>
          <w:rFonts w:eastAsia="Times New Roman"/>
        </w:rPr>
        <w:t xml:space="preserve">Taking a look into history, the </w:t>
      </w:r>
      <w:r>
        <w:t xml:space="preserve">belated modernization of Eastern European societies after WWII and the socialist policy of gender equality was aimed to solve the “women’s question” through women’s full-time employment, which resulted in part into a profusion of closed and semi-closed institutions for people with different </w:t>
      </w:r>
      <w:r w:rsidR="00E91D78">
        <w:t xml:space="preserve">disabilities </w:t>
      </w:r>
      <w:r>
        <w:t xml:space="preserve"> including mental health issues (Zaviršek 2015) </w:t>
      </w:r>
      <w:r>
        <w:rPr>
          <w:rFonts w:eastAsia="Times New Roman"/>
        </w:rPr>
        <w:t xml:space="preserve">Boarding schools and </w:t>
      </w:r>
      <w:r w:rsidR="00E91D78">
        <w:rPr>
          <w:rFonts w:eastAsia="Times New Roman"/>
        </w:rPr>
        <w:t xml:space="preserve">large long-stay public care </w:t>
      </w:r>
      <w:r>
        <w:rPr>
          <w:rFonts w:eastAsia="Times New Roman"/>
        </w:rPr>
        <w:t xml:space="preserve"> institutions were seen as the perfect solution of social protection from the “cradle to the grave,” regardless of a person’s individual needs or abilities.  </w:t>
      </w:r>
    </w:p>
    <w:p w:rsidR="00176CD9" w:rsidRDefault="00176CD9" w:rsidP="0034362F">
      <w:pPr>
        <w:pStyle w:val="Brezrazmikov"/>
        <w:spacing w:line="360" w:lineRule="auto"/>
        <w:rPr>
          <w:rFonts w:eastAsia="Times New Roman"/>
        </w:rPr>
      </w:pPr>
    </w:p>
    <w:p w:rsidR="00176CD9" w:rsidRDefault="00176CD9" w:rsidP="0034362F">
      <w:pPr>
        <w:pStyle w:val="Brezrazmikov"/>
        <w:spacing w:line="360" w:lineRule="auto"/>
        <w:rPr>
          <w:rFonts w:eastAsia="Times New Roman"/>
        </w:rPr>
      </w:pPr>
      <w:r>
        <w:rPr>
          <w:rFonts w:eastAsia="Times New Roman"/>
        </w:rPr>
        <w:t>Paternalistic relationships, control and care for basic material needs were the main priorities of welfare institutions. The residents were neither entitled to any rights nor perceived as persons with their own life trajectory. There was no life beyond staying in confinement. People with the same diagnosis were placed in the same building, and the institution became a collection place for children and adults with different impairments across Slovenia.</w:t>
      </w:r>
      <w:r>
        <w:rPr>
          <w:rStyle w:val="Sprotnaopomba-sklic"/>
          <w:rFonts w:eastAsia="Times New Roman"/>
        </w:rPr>
        <w:footnoteReference w:id="1"/>
      </w:r>
      <w:r>
        <w:rPr>
          <w:rFonts w:eastAsia="Times New Roman"/>
        </w:rPr>
        <w:t xml:space="preserve"> This consolidated residents’ invisibility and inability to keep contacts with the outside world, </w:t>
      </w:r>
      <w:r w:rsidR="00E91D78">
        <w:rPr>
          <w:rFonts w:eastAsia="Times New Roman"/>
        </w:rPr>
        <w:t xml:space="preserve">the relatives, </w:t>
      </w:r>
      <w:r>
        <w:rPr>
          <w:rFonts w:eastAsia="Times New Roman"/>
        </w:rPr>
        <w:t xml:space="preserve"> local community</w:t>
      </w:r>
      <w:r w:rsidR="007E38F9">
        <w:rPr>
          <w:rFonts w:eastAsia="Times New Roman"/>
        </w:rPr>
        <w:t xml:space="preserve"> and to live an ordinary </w:t>
      </w:r>
      <w:r w:rsidR="00E91D78">
        <w:rPr>
          <w:rFonts w:eastAsia="Times New Roman"/>
        </w:rPr>
        <w:t>life</w:t>
      </w:r>
      <w:r>
        <w:rPr>
          <w:rFonts w:eastAsia="Times New Roman"/>
        </w:rPr>
        <w:t xml:space="preserve">. Encounters with relatives were rare, as the latter often did </w:t>
      </w:r>
      <w:r w:rsidR="00654440">
        <w:rPr>
          <w:rFonts w:eastAsia="Times New Roman"/>
        </w:rPr>
        <w:t>not</w:t>
      </w:r>
      <w:r>
        <w:rPr>
          <w:rFonts w:eastAsia="Times New Roman"/>
        </w:rPr>
        <w:t xml:space="preserve"> have the necessary funding to afford a weekly or monthly visit to the remote place. Therefore, the staff had unlimited power over the residents. Now and then some institutions, like the largest psychiatric hospital Polje in Ljubljana, incarcerated the homeless, “drunkards” and other socialist “lumpenproletariat”</w:t>
      </w:r>
      <w:r w:rsidR="00654440">
        <w:rPr>
          <w:rFonts w:eastAsia="Times New Roman"/>
        </w:rPr>
        <w:t xml:space="preserve"> to implement the biopolitical “</w:t>
      </w:r>
      <w:r>
        <w:rPr>
          <w:rFonts w:eastAsia="Times New Roman"/>
        </w:rPr>
        <w:t xml:space="preserve">cleaning of the city’s streets.” They were locked in overnight when the highest political delegations with President Josip Broz Tito visited Slovenia (personal communication with one of the directors of the psychiatric clinic, 1992). </w:t>
      </w:r>
    </w:p>
    <w:p w:rsidR="00176CD9" w:rsidRDefault="00176CD9" w:rsidP="0034362F">
      <w:pPr>
        <w:pStyle w:val="Brezrazmikov"/>
        <w:spacing w:line="360" w:lineRule="auto"/>
        <w:rPr>
          <w:rFonts w:eastAsia="Times New Roman"/>
        </w:rPr>
      </w:pPr>
    </w:p>
    <w:p w:rsidR="00176CD9" w:rsidRDefault="00176CD9" w:rsidP="0034362F">
      <w:pPr>
        <w:pStyle w:val="Brezrazmikov"/>
        <w:spacing w:line="360" w:lineRule="auto"/>
        <w:rPr>
          <w:rFonts w:eastAsia="Times New Roman"/>
        </w:rPr>
      </w:pPr>
      <w:r>
        <w:rPr>
          <w:rFonts w:eastAsia="Times New Roman"/>
        </w:rPr>
        <w:lastRenderedPageBreak/>
        <w:t>After the late 1980s social activists started to question the spatial segregation of disabled persons. New grassroots organizations of disabled persons refused the institutionalization as well as the dominance of the</w:t>
      </w:r>
      <w:r w:rsidR="007E38F9">
        <w:rPr>
          <w:rFonts w:eastAsia="Times New Roman"/>
        </w:rPr>
        <w:t xml:space="preserve"> medical model and the </w:t>
      </w:r>
      <w:r>
        <w:rPr>
          <w:rFonts w:eastAsia="Times New Roman"/>
        </w:rPr>
        <w:t>o</w:t>
      </w:r>
      <w:r w:rsidR="00654440">
        <w:rPr>
          <w:rFonts w:eastAsia="Times New Roman"/>
        </w:rPr>
        <w:t>ld-fashion “invalid organizations</w:t>
      </w:r>
      <w:r w:rsidR="007E38F9">
        <w:rPr>
          <w:rFonts w:eastAsia="Times New Roman"/>
        </w:rPr>
        <w:t>’ representatives</w:t>
      </w:r>
      <w:r w:rsidR="00654440">
        <w:rPr>
          <w:rFonts w:eastAsia="Times New Roman"/>
        </w:rPr>
        <w:t>,”</w:t>
      </w:r>
      <w:r>
        <w:rPr>
          <w:rFonts w:eastAsia="Times New Roman"/>
        </w:rPr>
        <w:t xml:space="preserve"> wh</w:t>
      </w:r>
      <w:r w:rsidR="007E38F9">
        <w:rPr>
          <w:rFonts w:eastAsia="Times New Roman"/>
        </w:rPr>
        <w:t xml:space="preserve">o </w:t>
      </w:r>
      <w:r>
        <w:rPr>
          <w:rFonts w:eastAsia="Times New Roman"/>
        </w:rPr>
        <w:t xml:space="preserve"> after 1991 kept their privileged status granted to them during Communist rule. But critical voices were marginalized and instead of deinstitutionalization, new institutions were built</w:t>
      </w:r>
      <w:r>
        <w:rPr>
          <w:rStyle w:val="Sprotnaopomba-sklic"/>
          <w:rFonts w:eastAsia="Times New Roman"/>
        </w:rPr>
        <w:footnoteReference w:id="2"/>
      </w:r>
      <w:r w:rsidR="007E38F9">
        <w:rPr>
          <w:rFonts w:eastAsia="Times New Roman"/>
        </w:rPr>
        <w:t>.</w:t>
      </w:r>
      <w:r>
        <w:rPr>
          <w:rFonts w:eastAsia="Times New Roman"/>
        </w:rPr>
        <w:t xml:space="preserve"> </w:t>
      </w:r>
    </w:p>
    <w:p w:rsidR="00176CD9" w:rsidRDefault="00176CD9" w:rsidP="0034362F">
      <w:pPr>
        <w:pStyle w:val="Brezrazmikov"/>
        <w:spacing w:line="360" w:lineRule="auto"/>
        <w:rPr>
          <w:rFonts w:eastAsia="Times New Roman"/>
          <w:b/>
        </w:rPr>
      </w:pPr>
    </w:p>
    <w:p w:rsidR="00176CD9" w:rsidRDefault="00176CD9" w:rsidP="0034362F">
      <w:pPr>
        <w:pStyle w:val="Brezrazmikov"/>
        <w:spacing w:line="360" w:lineRule="auto"/>
        <w:rPr>
          <w:rFonts w:eastAsia="Times New Roman"/>
          <w:b/>
        </w:rPr>
      </w:pPr>
      <w:r>
        <w:rPr>
          <w:rFonts w:eastAsia="Times New Roman"/>
          <w:b/>
        </w:rPr>
        <w:t xml:space="preserve">Institutional violence    </w:t>
      </w:r>
    </w:p>
    <w:p w:rsidR="00176CD9" w:rsidRDefault="00176CD9" w:rsidP="0034362F">
      <w:pPr>
        <w:pStyle w:val="Brezrazmikov"/>
        <w:spacing w:line="360" w:lineRule="auto"/>
        <w:rPr>
          <w:rFonts w:eastAsia="Times New Roman"/>
          <w:b/>
        </w:rPr>
      </w:pPr>
    </w:p>
    <w:p w:rsidR="00176CD9" w:rsidRDefault="00176CD9" w:rsidP="0034362F">
      <w:pPr>
        <w:pStyle w:val="Brezrazmikov"/>
        <w:spacing w:line="360" w:lineRule="auto"/>
      </w:pPr>
      <w:r>
        <w:rPr>
          <w:rFonts w:eastAsia="Times New Roman"/>
        </w:rPr>
        <w:t>From the late 1990s few small-scale studies on institutional violence in disabled children’ and adults’ institutions appeared.</w:t>
      </w:r>
      <w:r>
        <w:rPr>
          <w:rStyle w:val="Sprotnaopomba-sklic"/>
          <w:rFonts w:eastAsia="Times New Roman"/>
        </w:rPr>
        <w:footnoteReference w:id="3"/>
      </w:r>
      <w:r>
        <w:rPr>
          <w:rFonts w:eastAsia="Times New Roman"/>
        </w:rPr>
        <w:t xml:space="preserve"> </w:t>
      </w:r>
      <w:r>
        <w:t>Some of the persons testified to  physical violence</w:t>
      </w:r>
      <w:r w:rsidR="007E38F9">
        <w:t xml:space="preserve"> they went through in the 1970’s and 1980’s</w:t>
      </w:r>
      <w:r>
        <w:t>; long-stay institutions for disabled children had isolation rooms or wooden lattice framed spaces large enough to accommodate a child’s bed</w:t>
      </w:r>
      <w:r w:rsidR="00654440">
        <w:t xml:space="preserve">, or isolation spaces </w:t>
      </w:r>
      <w:r>
        <w:t xml:space="preserve"> (at least until 2007)</w:t>
      </w:r>
      <w:r w:rsidR="007E38F9">
        <w:t>; for adults they were called a “bunker”</w:t>
      </w:r>
      <w:r>
        <w:t xml:space="preserve">. People recalled the restraining of residents by means of a straitjacket, by strapping the person onto the bed, by administering forced injections of high dosage psychiatric drugs, and the use of isolation rooms. These different forms of institutional pedagogy functioned as a constant threat for others and helped to internalize the power relations between workers and residents. </w:t>
      </w:r>
    </w:p>
    <w:p w:rsidR="00176CD9" w:rsidRDefault="00176CD9" w:rsidP="0034362F">
      <w:pPr>
        <w:pStyle w:val="Brezrazmikov"/>
        <w:spacing w:line="360" w:lineRule="auto"/>
      </w:pPr>
    </w:p>
    <w:p w:rsidR="00176CD9" w:rsidRDefault="00176CD9" w:rsidP="0034362F">
      <w:pPr>
        <w:pStyle w:val="Brezrazmikov"/>
        <w:spacing w:line="360" w:lineRule="auto"/>
        <w:rPr>
          <w:rFonts w:eastAsia="Times New Roman"/>
          <w:b/>
        </w:rPr>
      </w:pPr>
      <w:r>
        <w:t xml:space="preserve">One of the directors of a large social welfare institution for the disabled stated in April 2014: “In 2007 we decided to stop using force, and we realized that it is possible to work without it. It is better and the residents are calmer. But employees are still divided on this issue. Half of them believe we should start using force again. Sometimes older psychiatrists, when we call them to report on the illness and violent behavior of a resident, ask us: ‘Where do you have that room?’ [meaning isolation room, D.Z.] Then we tell them we don’t have it anymore, so he would need to come and see the patient. But these are only the old doctors; the younger are different.” A social worker who worked in one of the large institutions for adults for more than 30 years reported, when asked to give details on injections, that: “We were four workers holding the resident and then we forcibly injected him. It was not a pleasant situation!” </w:t>
      </w:r>
      <w:r>
        <w:lastRenderedPageBreak/>
        <w:t xml:space="preserve">(Zaviršek 2015) An employee from another institution for adults with different disabilities recalled (April 2014): “They were kept in the ‘bunker’ for 12 to 14 hours.” </w:t>
      </w:r>
    </w:p>
    <w:p w:rsidR="00176CD9" w:rsidRDefault="00176CD9" w:rsidP="0034362F">
      <w:pPr>
        <w:pStyle w:val="Brezrazmikov"/>
        <w:spacing w:line="360" w:lineRule="auto"/>
        <w:rPr>
          <w:rFonts w:eastAsia="Times New Roman"/>
        </w:rPr>
      </w:pPr>
    </w:p>
    <w:p w:rsidR="00176CD9" w:rsidRDefault="00176CD9" w:rsidP="0034362F">
      <w:pPr>
        <w:pStyle w:val="Brezrazmikov"/>
        <w:spacing w:line="360" w:lineRule="auto"/>
        <w:rPr>
          <w:rFonts w:eastAsia="Times New Roman"/>
        </w:rPr>
      </w:pPr>
      <w:r>
        <w:rPr>
          <w:rFonts w:eastAsia="Times New Roman"/>
        </w:rPr>
        <w:t xml:space="preserve">Violence and sexual abuse of women within institutions is also hardly researched. </w:t>
      </w:r>
      <w:r>
        <w:t>Layers of institutional maltreatment were silenced and happened without witnesses.</w:t>
      </w:r>
      <w:r>
        <w:rPr>
          <w:rFonts w:eastAsia="Times New Roman"/>
        </w:rPr>
        <w:t xml:space="preserve"> Cases of sterilization or the forced removal of children appears in personal vignettes or even gossip (e.g. “they told me I would get my appendix removed, and then I was sterilized”; a woman with intellectual disabilities who lives in one of the long-stay institution gave birth to six children, all of whom were taken away from her). </w:t>
      </w:r>
    </w:p>
    <w:p w:rsidR="00176CD9" w:rsidRDefault="00176CD9" w:rsidP="0034362F">
      <w:pPr>
        <w:pStyle w:val="Brezrazmikov"/>
        <w:spacing w:line="360" w:lineRule="auto"/>
        <w:rPr>
          <w:rFonts w:eastAsia="Times New Roman"/>
        </w:rPr>
      </w:pPr>
    </w:p>
    <w:p w:rsidR="00176CD9" w:rsidRDefault="00176CD9" w:rsidP="0034362F">
      <w:pPr>
        <w:pStyle w:val="Brezrazmikov"/>
        <w:spacing w:line="360" w:lineRule="auto"/>
      </w:pPr>
      <w:r>
        <w:rPr>
          <w:rFonts w:eastAsia="Times New Roman"/>
        </w:rPr>
        <w:t>The perpetrators, as emphasized by Lewis Herman (1997), always try their best to cover the traces of abuse and to make violence invisible and</w:t>
      </w:r>
      <w:r w:rsidR="00654440">
        <w:rPr>
          <w:rFonts w:eastAsia="Times New Roman"/>
        </w:rPr>
        <w:t xml:space="preserve"> hidden. Silence is not “gold,” </w:t>
      </w:r>
      <w:r>
        <w:rPr>
          <w:rFonts w:eastAsia="Times New Roman"/>
        </w:rPr>
        <w:t>as glorified by the Slovenian proverb (</w:t>
      </w:r>
      <w:r>
        <w:rPr>
          <w:rFonts w:eastAsia="Times New Roman"/>
          <w:i/>
        </w:rPr>
        <w:t>molk je zlato</w:t>
      </w:r>
      <w:r>
        <w:rPr>
          <w:rFonts w:eastAsia="Times New Roman"/>
        </w:rPr>
        <w:t xml:space="preserve">), but an effective protection for the violators who expect that the victims, as well as the public, will remain silent. Its “no-appearance” makes it extremely difficult for the victims to recognize and define it as violence, and even more for researchers to document it.  A woman with physical impairments who lived in the rehabilitation institution Stara Gora in 1960s recalled one of the invisible violent events as well as the double face of the socialist welfare institutions: </w:t>
      </w:r>
      <w:r w:rsidR="00654440">
        <w:t>“</w:t>
      </w:r>
      <w:r>
        <w:t>For me the hardest punishment was when they locked me in the bathroom and showered with cold water, even in winter. I never told anyone. But when a political delegation visited us, we got sweets and other goods we never got otherwise. They were so ni</w:t>
      </w:r>
      <w:r w:rsidR="00654440">
        <w:t>ce with us on these occasions”</w:t>
      </w:r>
      <w:r w:rsidR="007E38F9">
        <w:t xml:space="preserve"> (Zaviršek 2000). </w:t>
      </w:r>
    </w:p>
    <w:p w:rsidR="00176CD9" w:rsidRDefault="00176CD9" w:rsidP="0034362F">
      <w:pPr>
        <w:pStyle w:val="Brezrazmikov"/>
        <w:spacing w:line="360" w:lineRule="auto"/>
        <w:rPr>
          <w:rFonts w:eastAsia="Times New Roman"/>
        </w:rPr>
      </w:pPr>
    </w:p>
    <w:p w:rsidR="00176CD9" w:rsidRDefault="00176CD9" w:rsidP="0034362F">
      <w:pPr>
        <w:pStyle w:val="Brezrazmikov"/>
        <w:spacing w:line="360" w:lineRule="auto"/>
      </w:pPr>
      <w:r>
        <w:t>The nights were as dangerous as the days. Up to 40 children lived in the same room; the night staff dwelled in the “tea room” (</w:t>
      </w:r>
      <w:r>
        <w:rPr>
          <w:i/>
        </w:rPr>
        <w:t>čajna kuhinja</w:t>
      </w:r>
      <w:r>
        <w:t xml:space="preserve">) situated in the middle of the ward. One of their duties was to turn the child on their side from time to time. </w:t>
      </w:r>
      <w:r w:rsidR="007E38F9">
        <w:t>Klaudija</w:t>
      </w:r>
      <w:r>
        <w:t xml:space="preserve">, today in her forties, who was able to do it herself, remembered the invisible violence of this non-event when she recalled: “I will never forget those voices of the children, who very silently called, almost whispered, each night, to reach one of the workers by calling them to come to the room and turn them on the side: </w:t>
      </w:r>
      <w:r>
        <w:rPr>
          <w:i/>
        </w:rPr>
        <w:t>’Tovarišiiiiicaaa,</w:t>
      </w:r>
      <w:r>
        <w:rPr>
          <w:rStyle w:val="Sprotnaopomba-sklic"/>
        </w:rPr>
        <w:footnoteReference w:id="4"/>
      </w:r>
      <w:r>
        <w:rPr>
          <w:i/>
        </w:rPr>
        <w:t xml:space="preserve"> tovarišiiiiiicaaaa’</w:t>
      </w:r>
      <w:r>
        <w:t>… (‘te</w:t>
      </w:r>
      <w:r w:rsidR="00654440">
        <w:t>eeee</w:t>
      </w:r>
      <w:r>
        <w:t>acher, te</w:t>
      </w:r>
      <w:r w:rsidR="00654440">
        <w:t>eeee</w:t>
      </w:r>
      <w:r>
        <w:t>acher…’). These silent screams went on and on, every night over half an hour before someone came and turned them.” (</w:t>
      </w:r>
      <w:r w:rsidR="00654440">
        <w:t>Personal</w:t>
      </w:r>
      <w:r>
        <w:t xml:space="preserve"> testimony, 201</w:t>
      </w:r>
      <w:r w:rsidR="00715B18">
        <w:t>6</w:t>
      </w:r>
      <w:r>
        <w:t xml:space="preserve">) </w:t>
      </w:r>
    </w:p>
    <w:p w:rsidR="00176CD9" w:rsidRDefault="00176CD9" w:rsidP="0034362F">
      <w:pPr>
        <w:pStyle w:val="Brezrazmikov"/>
        <w:spacing w:line="360" w:lineRule="auto"/>
      </w:pPr>
    </w:p>
    <w:p w:rsidR="00176CD9" w:rsidRDefault="00176CD9" w:rsidP="0034362F">
      <w:pPr>
        <w:pStyle w:val="Brezrazmikov"/>
        <w:spacing w:line="360" w:lineRule="auto"/>
      </w:pPr>
      <w:r>
        <w:t>Personal stories reveal that the semi-medical and semi-asylum-like institutions did not only relieve pain, but instead produced it. The employed staff, terrified by the disabled body and the everyday pain, or being taught that the disabled are just bodies without emotions, suppressed their own trauma as well as toxic knowledge with showing no empathy towards the children</w:t>
      </w:r>
      <w:r w:rsidR="00715B18">
        <w:t xml:space="preserve"> and adults. </w:t>
      </w:r>
      <w:r>
        <w:t>They objectivized the disabled body and did not even recognize the importance of friendship</w:t>
      </w:r>
      <w:r w:rsidR="00715B18">
        <w:t xml:space="preserve"> among the inmates</w:t>
      </w:r>
      <w:r>
        <w:t xml:space="preserve">. </w:t>
      </w:r>
    </w:p>
    <w:p w:rsidR="00176CD9" w:rsidRDefault="00176CD9" w:rsidP="0034362F">
      <w:pPr>
        <w:pStyle w:val="Brezrazmikov"/>
        <w:spacing w:line="360" w:lineRule="auto"/>
      </w:pPr>
    </w:p>
    <w:p w:rsidR="00176CD9" w:rsidRDefault="00176CD9" w:rsidP="0034362F">
      <w:pPr>
        <w:pStyle w:val="Brezrazmikov"/>
        <w:spacing w:line="360" w:lineRule="auto"/>
        <w:rPr>
          <w:highlight w:val="yellow"/>
        </w:rPr>
      </w:pPr>
      <w:r>
        <w:t xml:space="preserve">One of the historically-constructed images of the disabled was that people with intellectual disabilities have no memory, and as memory makes a person a human being, they saw them as a human being of a lower nature. Even today some staff in long-stay institutions see the residents as people who “feel less,” who do </w:t>
      </w:r>
      <w:r w:rsidR="00654440">
        <w:t>not</w:t>
      </w:r>
      <w:r>
        <w:t xml:space="preserve"> feel the pain or notice it only partially. Not having memory means that the person is unable to </w:t>
      </w:r>
      <w:r w:rsidR="00654440">
        <w:t>recognize</w:t>
      </w:r>
      <w:r>
        <w:t xml:space="preserve"> witness, testify and narrate the stories of invisible violence in the first place. </w:t>
      </w:r>
      <w:r>
        <w:rPr>
          <w:color w:val="000000"/>
        </w:rPr>
        <w:t xml:space="preserve">The </w:t>
      </w:r>
      <w:r w:rsidR="00654440">
        <w:rPr>
          <w:color w:val="000000"/>
        </w:rPr>
        <w:t>staffs who control</w:t>
      </w:r>
      <w:r>
        <w:rPr>
          <w:color w:val="000000"/>
        </w:rPr>
        <w:t xml:space="preserve"> the place (possessing the keys to the rooms and bathrooms, intruding on the privacy of the residents, etc.) also subjugated the residents’ bodies to the administrative power of the institution; they created volatile bodies, low self-esteem, and emotional lethargy. </w:t>
      </w:r>
      <w:r>
        <w:t xml:space="preserve"> </w:t>
      </w:r>
    </w:p>
    <w:p w:rsidR="00176CD9" w:rsidRDefault="00176CD9" w:rsidP="0034362F">
      <w:pPr>
        <w:pStyle w:val="Brezrazmikov"/>
        <w:spacing w:line="360" w:lineRule="auto"/>
        <w:rPr>
          <w:highlight w:val="yellow"/>
        </w:rPr>
      </w:pPr>
    </w:p>
    <w:p w:rsidR="00176CD9" w:rsidRDefault="00176CD9" w:rsidP="0034362F">
      <w:pPr>
        <w:pStyle w:val="Brezrazmikov"/>
        <w:spacing w:line="360" w:lineRule="auto"/>
        <w:rPr>
          <w:rFonts w:eastAsia="Times New Roman"/>
          <w:b/>
        </w:rPr>
      </w:pPr>
      <w:r>
        <w:rPr>
          <w:rFonts w:eastAsia="Times New Roman"/>
          <w:b/>
        </w:rPr>
        <w:t xml:space="preserve">Remembering as a political act  </w:t>
      </w:r>
    </w:p>
    <w:p w:rsidR="00176CD9" w:rsidRDefault="00176CD9" w:rsidP="0034362F">
      <w:pPr>
        <w:pStyle w:val="Brezrazmikov"/>
        <w:spacing w:line="360" w:lineRule="auto"/>
        <w:rPr>
          <w:rFonts w:eastAsia="Times New Roman"/>
          <w:b/>
        </w:rPr>
      </w:pPr>
    </w:p>
    <w:p w:rsidR="00176CD9" w:rsidRDefault="00176CD9" w:rsidP="0034362F">
      <w:pPr>
        <w:pStyle w:val="Brezrazmikov"/>
        <w:spacing w:line="360" w:lineRule="auto"/>
      </w:pPr>
      <w:r>
        <w:rPr>
          <w:rFonts w:eastAsia="Times New Roman"/>
        </w:rPr>
        <w:t xml:space="preserve">Public silence and censorship, which allows some memory to become part of public knowledge, turns some invisible and unspoken personal stories of people who survived long-stay institutions inevitably into a political act. The memory of persons with disabilities is mostly not part of the public memory, as professional power-knowledge, parental voices and public-common sense dominate and influences the socially-constructed forms of remembering and forgetting. Social welfare institutions are the places where the processes of forgetting take place all the time. </w:t>
      </w:r>
      <w:r>
        <w:t xml:space="preserve">Remembering and testifying about institutional violence are rare because the places from where the people speak are already stigmatizing places, preventing public narration. Their narratives are not perceived as heroic or a valued part of public remembrance, but as the whispered stories of outcasts. Not having public permission makes people incapable to talk and to narrate their personal histories. Therefore silence becomes an inevitable part of the lives of disabled persons and often their relatives as well. The inability to bear witness for oneself </w:t>
      </w:r>
      <w:r w:rsidR="00D6183D">
        <w:t xml:space="preserve">becomes a traumatic memory;  and </w:t>
      </w:r>
      <w:r>
        <w:t xml:space="preserve">trauma </w:t>
      </w:r>
      <w:r w:rsidR="00D6183D">
        <w:t xml:space="preserve">becomes </w:t>
      </w:r>
      <w:r>
        <w:t xml:space="preserve">part of their life, which is seen as valueless. Nevertheless, some people do remember, for themselves </w:t>
      </w:r>
      <w:r w:rsidR="00D6183D">
        <w:t xml:space="preserve">and </w:t>
      </w:r>
      <w:r>
        <w:t xml:space="preserve"> for others</w:t>
      </w:r>
      <w:r w:rsidR="00D6183D">
        <w:t xml:space="preserve">; they </w:t>
      </w:r>
      <w:r>
        <w:t xml:space="preserve"> talk </w:t>
      </w:r>
      <w:r>
        <w:lastRenderedPageBreak/>
        <w:t xml:space="preserve">in order that the events do not fall into oblivion and to motivate change </w:t>
      </w:r>
      <w:r w:rsidR="00D6183D">
        <w:t xml:space="preserve">of </w:t>
      </w:r>
      <w:r>
        <w:t xml:space="preserve"> the oppressive structures</w:t>
      </w:r>
      <w:r w:rsidR="00D6183D">
        <w:t xml:space="preserve">. </w:t>
      </w:r>
      <w:r>
        <w:t xml:space="preserve"> </w:t>
      </w:r>
    </w:p>
    <w:p w:rsidR="00176CD9" w:rsidRDefault="00176CD9" w:rsidP="0034362F">
      <w:pPr>
        <w:pStyle w:val="Brezrazmikov"/>
        <w:spacing w:line="360" w:lineRule="auto"/>
      </w:pPr>
    </w:p>
    <w:p w:rsidR="00176CD9" w:rsidRDefault="00176CD9" w:rsidP="0034362F">
      <w:pPr>
        <w:pStyle w:val="Brezrazmikov"/>
        <w:spacing w:line="360" w:lineRule="auto"/>
      </w:pPr>
      <w:r>
        <w:t>Narrating events of violence for oneself and for others also implies the wish to develop a meaning and sense of events which are truly senseless. Disabled people living in long-stay institutions remembered these times as “lost time”</w:t>
      </w:r>
      <w:r w:rsidR="00654440">
        <w:t>—</w:t>
      </w:r>
      <w:r>
        <w:t>the time when people did no</w:t>
      </w:r>
      <w:r w:rsidR="00D6183D">
        <w:t>t</w:t>
      </w:r>
      <w:r>
        <w:t xml:space="preserve"> live, but “died through”, to recall Langer’s metaphor (Langer 1994). Therefore, the right for memori</w:t>
      </w:r>
      <w:r w:rsidR="00D6183D">
        <w:t>zing</w:t>
      </w:r>
      <w:r>
        <w:t xml:space="preserve"> the experiences of visible and invisible violence are very fundamental for the processes of the democratization of everyday life. In postsocialist countries the public and personal silence of people who survived long-stay institutions during Communism needs to be transformed into public knowledge and remembrance. Many stories of survivors demand regret and apology by politicians and professionals who were responsible for lost lives and the institutional violence of people in the past. Memory work is therefore part of the democratization of everyday life, and part of the implementation of the UN Convention on the Rights of Persons with Disabilities.   </w:t>
      </w:r>
    </w:p>
    <w:p w:rsidR="00176CD9" w:rsidRDefault="00176CD9" w:rsidP="0034362F">
      <w:pPr>
        <w:pStyle w:val="Brezrazmikov"/>
        <w:spacing w:line="360" w:lineRule="auto"/>
        <w:rPr>
          <w:b/>
          <w:u w:val="single"/>
        </w:rPr>
      </w:pPr>
    </w:p>
    <w:p w:rsidR="00654440" w:rsidRDefault="00654440" w:rsidP="0034362F">
      <w:pPr>
        <w:pStyle w:val="Brezrazmikov"/>
        <w:spacing w:line="360" w:lineRule="auto"/>
        <w:rPr>
          <w:b/>
        </w:rPr>
      </w:pPr>
    </w:p>
    <w:p w:rsidR="00176CD9" w:rsidRDefault="00176CD9" w:rsidP="0034362F">
      <w:pPr>
        <w:pStyle w:val="Brezrazmikov"/>
        <w:spacing w:line="360" w:lineRule="auto"/>
        <w:rPr>
          <w:b/>
        </w:rPr>
      </w:pPr>
      <w:r>
        <w:rPr>
          <w:b/>
        </w:rPr>
        <w:t>References:</w:t>
      </w:r>
    </w:p>
    <w:p w:rsidR="00176CD9" w:rsidRPr="00654440" w:rsidRDefault="00176CD9" w:rsidP="0034362F">
      <w:pPr>
        <w:pStyle w:val="Brezrazmikov"/>
        <w:spacing w:line="360" w:lineRule="auto"/>
        <w:rPr>
          <w:b/>
          <w:u w:val="single"/>
        </w:rPr>
      </w:pPr>
    </w:p>
    <w:p w:rsidR="00176CD9" w:rsidRPr="00654440" w:rsidRDefault="00654440" w:rsidP="0034362F">
      <w:pPr>
        <w:pStyle w:val="Brezrazmikov"/>
        <w:spacing w:line="360" w:lineRule="auto"/>
        <w:rPr>
          <w:lang w:val="en-GB"/>
        </w:rPr>
      </w:pPr>
      <w:r>
        <w:rPr>
          <w:lang w:val="en-GB"/>
        </w:rPr>
        <w:t xml:space="preserve">Langer, Lawrence L. </w:t>
      </w:r>
      <w:r w:rsidR="00176CD9" w:rsidRPr="00654440">
        <w:rPr>
          <w:lang w:val="en-GB"/>
        </w:rPr>
        <w:t xml:space="preserve">(1994). </w:t>
      </w:r>
      <w:r>
        <w:rPr>
          <w:lang w:val="en-GB"/>
        </w:rPr>
        <w:t>“</w:t>
      </w:r>
      <w:r w:rsidR="00176CD9" w:rsidRPr="00654440">
        <w:rPr>
          <w:lang w:val="en-GB"/>
        </w:rPr>
        <w:t>Remembering Survival.</w:t>
      </w:r>
      <w:r>
        <w:rPr>
          <w:lang w:val="en-GB"/>
        </w:rPr>
        <w:t xml:space="preserve">” In </w:t>
      </w:r>
      <w:r w:rsidR="00176CD9" w:rsidRPr="00654440">
        <w:rPr>
          <w:lang w:val="en-GB"/>
        </w:rPr>
        <w:t xml:space="preserve">Geoffrey Hartman (ed.), </w:t>
      </w:r>
      <w:r w:rsidR="00176CD9" w:rsidRPr="00654440">
        <w:rPr>
          <w:i/>
          <w:lang w:val="en-GB"/>
        </w:rPr>
        <w:t xml:space="preserve">Holocaust Remembrance, </w:t>
      </w:r>
      <w:r w:rsidR="00176CD9" w:rsidRPr="00654440">
        <w:rPr>
          <w:lang w:val="en-GB"/>
        </w:rPr>
        <w:t>Oxford:</w:t>
      </w:r>
      <w:r w:rsidR="00176CD9" w:rsidRPr="00654440">
        <w:rPr>
          <w:i/>
          <w:lang w:val="en-GB"/>
        </w:rPr>
        <w:t xml:space="preserve"> </w:t>
      </w:r>
      <w:r w:rsidR="00176CD9" w:rsidRPr="00654440">
        <w:rPr>
          <w:lang w:val="en-GB"/>
        </w:rPr>
        <w:t>Basil Blackwell.</w:t>
      </w:r>
    </w:p>
    <w:p w:rsidR="00176CD9" w:rsidRPr="00654440" w:rsidRDefault="00176CD9" w:rsidP="0034362F">
      <w:pPr>
        <w:pStyle w:val="Brezrazmikov"/>
        <w:spacing w:line="360" w:lineRule="auto"/>
        <w:rPr>
          <w:lang w:val="en-GB"/>
        </w:rPr>
      </w:pPr>
    </w:p>
    <w:p w:rsidR="00176CD9" w:rsidRPr="00654440" w:rsidRDefault="00176CD9" w:rsidP="0034362F">
      <w:pPr>
        <w:pStyle w:val="Brezrazmikov"/>
        <w:spacing w:line="360" w:lineRule="auto"/>
        <w:rPr>
          <w:rFonts w:eastAsia="Times New Roman"/>
        </w:rPr>
      </w:pPr>
      <w:r w:rsidRPr="00654440">
        <w:rPr>
          <w:rFonts w:eastAsia="Times New Roman"/>
          <w:lang w:val="en-GB"/>
        </w:rPr>
        <w:t xml:space="preserve">Lewis Herman, Judith (1997). </w:t>
      </w:r>
      <w:r w:rsidRPr="00654440">
        <w:rPr>
          <w:rFonts w:eastAsia="Times New Roman"/>
          <w:i/>
          <w:lang w:val="en-GB"/>
        </w:rPr>
        <w:t>Trauma and Recovery</w:t>
      </w:r>
      <w:r w:rsidRPr="00654440">
        <w:rPr>
          <w:rFonts w:eastAsia="Times New Roman"/>
          <w:lang w:val="en-GB"/>
        </w:rPr>
        <w:t xml:space="preserve">. New York: </w:t>
      </w:r>
      <w:r w:rsidRPr="00654440">
        <w:rPr>
          <w:rFonts w:eastAsia="Times New Roman"/>
        </w:rPr>
        <w:t xml:space="preserve">Basic Books.  </w:t>
      </w:r>
    </w:p>
    <w:p w:rsidR="00176CD9" w:rsidRPr="00654440" w:rsidRDefault="00176CD9" w:rsidP="0034362F">
      <w:pPr>
        <w:pStyle w:val="Brezrazmikov"/>
        <w:spacing w:line="360" w:lineRule="auto"/>
        <w:rPr>
          <w:rFonts w:eastAsia="Times New Roman"/>
        </w:rPr>
      </w:pPr>
    </w:p>
    <w:p w:rsidR="00176CD9" w:rsidRPr="00CF374B" w:rsidRDefault="00176CD9" w:rsidP="0034362F">
      <w:pPr>
        <w:pStyle w:val="Brezrazmikov"/>
        <w:spacing w:line="360" w:lineRule="auto"/>
      </w:pPr>
      <w:r w:rsidRPr="00654440">
        <w:t xml:space="preserve">Zaviršek, Darja (2015). “Anthropology, Social Work and Disability Studies: Researching Diversity in Eastern Europe.” </w:t>
      </w:r>
      <w:r w:rsidR="00654440" w:rsidRPr="00654440">
        <w:rPr>
          <w:lang w:val="de-DE"/>
        </w:rPr>
        <w:t>In</w:t>
      </w:r>
      <w:r w:rsidRPr="00654440">
        <w:rPr>
          <w:lang w:val="de-DE"/>
        </w:rPr>
        <w:t xml:space="preserve"> </w:t>
      </w:r>
      <w:r w:rsidR="00654440" w:rsidRPr="00654440">
        <w:rPr>
          <w:lang w:val="de-DE"/>
        </w:rPr>
        <w:t xml:space="preserve">Magnus Treiber, Nicolas Griessmeier, Christian </w:t>
      </w:r>
      <w:r w:rsidRPr="00654440">
        <w:rPr>
          <w:lang w:val="de-DE"/>
        </w:rPr>
        <w:t>Heider</w:t>
      </w:r>
      <w:r w:rsidR="00654440" w:rsidRPr="00654440">
        <w:rPr>
          <w:lang w:val="de-DE"/>
        </w:rPr>
        <w:t xml:space="preserve"> (eds.), </w:t>
      </w:r>
      <w:r w:rsidRPr="00654440">
        <w:rPr>
          <w:lang w:val="de-DE"/>
        </w:rPr>
        <w:t xml:space="preserve"> </w:t>
      </w:r>
      <w:r w:rsidRPr="00654440">
        <w:rPr>
          <w:i/>
          <w:lang w:val="de-DE"/>
        </w:rPr>
        <w:t xml:space="preserve">Ethnologie und Soziale Arbeit. </w:t>
      </w:r>
      <w:r w:rsidRPr="00CF374B">
        <w:rPr>
          <w:i/>
        </w:rPr>
        <w:t xml:space="preserve">Fremde Disziplinen, gemeinsame Fragen?. </w:t>
      </w:r>
      <w:r w:rsidR="00654440" w:rsidRPr="00CF374B">
        <w:rPr>
          <w:rStyle w:val="Poudarek"/>
          <w:i w:val="0"/>
        </w:rPr>
        <w:t>Opladen</w:t>
      </w:r>
      <w:r w:rsidR="00654440" w:rsidRPr="00CF374B">
        <w:rPr>
          <w:rStyle w:val="st"/>
          <w:i/>
        </w:rPr>
        <w:t xml:space="preserve">: </w:t>
      </w:r>
      <w:r w:rsidR="00654440" w:rsidRPr="00CF374B">
        <w:rPr>
          <w:rStyle w:val="Poudarek"/>
          <w:i w:val="0"/>
        </w:rPr>
        <w:t>Budrich</w:t>
      </w:r>
      <w:r w:rsidR="00654440" w:rsidRPr="00CF374B">
        <w:rPr>
          <w:rStyle w:val="st"/>
          <w:i/>
        </w:rPr>
        <w:t xml:space="preserve"> </w:t>
      </w:r>
      <w:r w:rsidR="00654440" w:rsidRPr="00CF374B">
        <w:rPr>
          <w:rStyle w:val="st"/>
        </w:rPr>
        <w:t>UniPress,</w:t>
      </w:r>
      <w:r w:rsidRPr="00CF374B">
        <w:t>107‒132.</w:t>
      </w:r>
    </w:p>
    <w:p w:rsidR="00176CD9" w:rsidRPr="00CF374B" w:rsidRDefault="00176CD9" w:rsidP="0034362F">
      <w:pPr>
        <w:pStyle w:val="Brezrazmikov"/>
        <w:spacing w:line="360" w:lineRule="auto"/>
        <w:rPr>
          <w:u w:val="single"/>
        </w:rPr>
      </w:pPr>
    </w:p>
    <w:p w:rsidR="00176CD9" w:rsidRPr="00654440" w:rsidRDefault="00176CD9" w:rsidP="0034362F">
      <w:pPr>
        <w:spacing w:line="360" w:lineRule="auto"/>
        <w:rPr>
          <w:rFonts w:ascii="Times New Roman" w:hAnsi="Times New Roman" w:cs="Times New Roman"/>
          <w:sz w:val="24"/>
          <w:szCs w:val="24"/>
        </w:rPr>
      </w:pPr>
      <w:r w:rsidRPr="00654440">
        <w:rPr>
          <w:rFonts w:ascii="Times New Roman" w:hAnsi="Times New Roman" w:cs="Times New Roman"/>
          <w:bCs/>
          <w:sz w:val="24"/>
          <w:szCs w:val="24"/>
        </w:rPr>
        <w:t>Zaviršek, Darja (</w:t>
      </w:r>
      <w:r w:rsidRPr="00654440">
        <w:rPr>
          <w:rFonts w:ascii="Times New Roman" w:hAnsi="Times New Roman" w:cs="Times New Roman"/>
          <w:sz w:val="24"/>
          <w:szCs w:val="24"/>
        </w:rPr>
        <w:t xml:space="preserve">2006). </w:t>
      </w:r>
      <w:r w:rsidR="00654440" w:rsidRPr="00654440">
        <w:rPr>
          <w:rFonts w:ascii="Times New Roman" w:hAnsi="Times New Roman" w:cs="Times New Roman"/>
        </w:rPr>
        <w:t>“</w:t>
      </w:r>
      <w:r w:rsidRPr="00654440">
        <w:rPr>
          <w:rFonts w:ascii="Times New Roman" w:hAnsi="Times New Roman" w:cs="Times New Roman"/>
          <w:bCs/>
          <w:sz w:val="24"/>
          <w:szCs w:val="24"/>
        </w:rPr>
        <w:t>D</w:t>
      </w:r>
      <w:r w:rsidRPr="00654440">
        <w:rPr>
          <w:rFonts w:ascii="Times New Roman" w:hAnsi="Times New Roman" w:cs="Times New Roman"/>
          <w:sz w:val="24"/>
          <w:szCs w:val="24"/>
        </w:rPr>
        <w:t>isabled Women Everyday Citizenship Rights in East Eur</w:t>
      </w:r>
      <w:r w:rsidR="00654440" w:rsidRPr="00654440">
        <w:rPr>
          <w:rFonts w:ascii="Times New Roman" w:hAnsi="Times New Roman" w:cs="Times New Roman"/>
          <w:sz w:val="24"/>
          <w:szCs w:val="24"/>
        </w:rPr>
        <w:t xml:space="preserve">ope. Examples from Slovenia.” In Jasmina  Lukić, Joanna  Regulska, Darja </w:t>
      </w:r>
      <w:r w:rsidRPr="00654440">
        <w:rPr>
          <w:rFonts w:ascii="Times New Roman" w:hAnsi="Times New Roman" w:cs="Times New Roman"/>
          <w:bCs/>
          <w:sz w:val="24"/>
          <w:szCs w:val="24"/>
        </w:rPr>
        <w:t>Zaviršek</w:t>
      </w:r>
      <w:r w:rsidR="00654440" w:rsidRPr="00654440">
        <w:rPr>
          <w:rFonts w:ascii="Times New Roman" w:hAnsi="Times New Roman" w:cs="Times New Roman"/>
          <w:sz w:val="24"/>
          <w:szCs w:val="24"/>
        </w:rPr>
        <w:t xml:space="preserve"> (</w:t>
      </w:r>
      <w:r w:rsidRPr="00654440">
        <w:rPr>
          <w:rFonts w:ascii="Times New Roman" w:hAnsi="Times New Roman" w:cs="Times New Roman"/>
          <w:sz w:val="24"/>
          <w:szCs w:val="24"/>
        </w:rPr>
        <w:t xml:space="preserve">eds.),  </w:t>
      </w:r>
      <w:r w:rsidRPr="00654440">
        <w:rPr>
          <w:rFonts w:ascii="Times New Roman" w:hAnsi="Times New Roman" w:cs="Times New Roman"/>
          <w:i/>
          <w:iCs/>
          <w:sz w:val="24"/>
          <w:szCs w:val="24"/>
        </w:rPr>
        <w:t>Women and citizenship in Central and  Eastern Europe</w:t>
      </w:r>
      <w:r w:rsidRPr="00654440">
        <w:rPr>
          <w:rFonts w:ascii="Times New Roman" w:hAnsi="Times New Roman" w:cs="Times New Roman"/>
          <w:i/>
          <w:sz w:val="24"/>
          <w:szCs w:val="24"/>
        </w:rPr>
        <w:t>.</w:t>
      </w:r>
      <w:r w:rsidRPr="00654440">
        <w:rPr>
          <w:rFonts w:ascii="Times New Roman" w:hAnsi="Times New Roman" w:cs="Times New Roman"/>
          <w:sz w:val="24"/>
          <w:szCs w:val="24"/>
        </w:rPr>
        <w:t xml:space="preserve"> Aldershot: Ashgate, 62‒87.</w:t>
      </w:r>
    </w:p>
    <w:p w:rsidR="00176CD9" w:rsidRDefault="00176CD9" w:rsidP="0034362F">
      <w:pPr>
        <w:spacing w:line="360" w:lineRule="auto"/>
        <w:rPr>
          <w:rFonts w:ascii="Times New Roman" w:hAnsi="Times New Roman" w:cs="Times New Roman"/>
          <w:sz w:val="24"/>
          <w:szCs w:val="24"/>
          <w:lang w:val="de-DE"/>
        </w:rPr>
      </w:pPr>
      <w:r w:rsidRPr="00654440">
        <w:rPr>
          <w:rFonts w:ascii="Times New Roman" w:hAnsi="Times New Roman" w:cs="Times New Roman"/>
          <w:bCs/>
          <w:sz w:val="24"/>
          <w:szCs w:val="24"/>
        </w:rPr>
        <w:lastRenderedPageBreak/>
        <w:t>Zaviršek,</w:t>
      </w:r>
      <w:r w:rsidRPr="00654440">
        <w:rPr>
          <w:rFonts w:ascii="Times New Roman" w:hAnsi="Times New Roman" w:cs="Times New Roman"/>
          <w:sz w:val="24"/>
          <w:szCs w:val="24"/>
        </w:rPr>
        <w:t xml:space="preserve"> Darja (1999). </w:t>
      </w:r>
      <w:r w:rsidR="00654440" w:rsidRPr="00654440">
        <w:rPr>
          <w:rFonts w:ascii="Times New Roman" w:hAnsi="Times New Roman" w:cs="Times New Roman"/>
        </w:rPr>
        <w:t>“</w:t>
      </w:r>
      <w:r w:rsidRPr="00654440">
        <w:rPr>
          <w:rFonts w:ascii="Times New Roman" w:hAnsi="Times New Roman" w:cs="Times New Roman"/>
          <w:sz w:val="24"/>
          <w:szCs w:val="24"/>
          <w:lang w:val="de-DE"/>
        </w:rPr>
        <w:t xml:space="preserve">Die stummen Wunden sozialer </w:t>
      </w:r>
      <w:r w:rsidRPr="00654440">
        <w:rPr>
          <w:rFonts w:ascii="Times New Roman" w:hAnsi="Times New Roman" w:cs="Times New Roman"/>
          <w:sz w:val="24"/>
          <w:szCs w:val="24"/>
          <w:lang w:val="de-LI"/>
        </w:rPr>
        <w:t>Verletzungen</w:t>
      </w:r>
      <w:r w:rsidR="00560D08">
        <w:rPr>
          <w:rFonts w:ascii="Times New Roman" w:hAnsi="Times New Roman" w:cs="Times New Roman"/>
          <w:sz w:val="24"/>
          <w:szCs w:val="24"/>
          <w:lang w:val="de-LI"/>
        </w:rPr>
        <w:t>—</w:t>
      </w:r>
      <w:r w:rsidRPr="00654440">
        <w:rPr>
          <w:rFonts w:ascii="Times New Roman" w:hAnsi="Times New Roman" w:cs="Times New Roman"/>
          <w:sz w:val="24"/>
          <w:szCs w:val="24"/>
          <w:lang w:val="de-LI"/>
        </w:rPr>
        <w:t>Behinderung und symbolische Ordnung in unterschiedlichen Kulturen.</w:t>
      </w:r>
      <w:r w:rsidR="00654440" w:rsidRPr="00654440">
        <w:rPr>
          <w:rFonts w:ascii="Times New Roman" w:hAnsi="Times New Roman" w:cs="Times New Roman"/>
          <w:sz w:val="24"/>
          <w:szCs w:val="24"/>
        </w:rPr>
        <w:t>”</w:t>
      </w:r>
      <w:r w:rsidR="00654440">
        <w:rPr>
          <w:rFonts w:ascii="Times New Roman" w:hAnsi="Times New Roman" w:cs="Times New Roman"/>
          <w:sz w:val="24"/>
          <w:szCs w:val="24"/>
          <w:lang w:val="de-LI"/>
        </w:rPr>
        <w:t xml:space="preserve"> In</w:t>
      </w:r>
      <w:r w:rsidRPr="00654440">
        <w:rPr>
          <w:rFonts w:ascii="Times New Roman" w:hAnsi="Times New Roman" w:cs="Times New Roman"/>
          <w:sz w:val="24"/>
          <w:szCs w:val="24"/>
          <w:lang w:val="de-LI"/>
        </w:rPr>
        <w:t xml:space="preserve"> Birgit Rommelspacher (ed.), </w:t>
      </w:r>
      <w:r w:rsidRPr="00654440">
        <w:rPr>
          <w:rFonts w:ascii="Times New Roman" w:hAnsi="Times New Roman" w:cs="Times New Roman"/>
          <w:i/>
          <w:sz w:val="24"/>
          <w:szCs w:val="24"/>
          <w:lang w:val="de-LI"/>
        </w:rPr>
        <w:t xml:space="preserve">Behinderten‒feindlichkeit. </w:t>
      </w:r>
      <w:r w:rsidRPr="00654440">
        <w:rPr>
          <w:rFonts w:ascii="Times New Roman" w:hAnsi="Times New Roman" w:cs="Times New Roman"/>
          <w:i/>
          <w:sz w:val="24"/>
          <w:szCs w:val="24"/>
          <w:lang w:val="de-DE"/>
        </w:rPr>
        <w:t>Ausgrenzungen und Vereinnahmungen</w:t>
      </w:r>
      <w:r w:rsidRPr="00654440">
        <w:rPr>
          <w:rFonts w:ascii="Times New Roman" w:hAnsi="Times New Roman" w:cs="Times New Roman"/>
          <w:sz w:val="24"/>
          <w:szCs w:val="24"/>
          <w:lang w:val="de-DE"/>
        </w:rPr>
        <w:t xml:space="preserve">. </w:t>
      </w:r>
      <w:r w:rsidR="00654440" w:rsidRPr="00654440">
        <w:rPr>
          <w:rFonts w:ascii="Times New Roman" w:hAnsi="Times New Roman" w:cs="Times New Roman"/>
          <w:sz w:val="24"/>
          <w:szCs w:val="24"/>
          <w:lang w:val="de-DE"/>
        </w:rPr>
        <w:t>Göttingen</w:t>
      </w:r>
      <w:r w:rsidRPr="00654440">
        <w:rPr>
          <w:rFonts w:ascii="Times New Roman" w:hAnsi="Times New Roman" w:cs="Times New Roman"/>
          <w:sz w:val="24"/>
          <w:szCs w:val="24"/>
          <w:lang w:val="de-DE"/>
        </w:rPr>
        <w:t>: Lamuv, 37</w:t>
      </w:r>
      <w:r w:rsidRPr="00654440">
        <w:rPr>
          <w:rFonts w:ascii="Times New Roman" w:hAnsi="Times New Roman" w:cs="Times New Roman"/>
          <w:sz w:val="24"/>
          <w:szCs w:val="24"/>
        </w:rPr>
        <w:t>‒</w:t>
      </w:r>
      <w:r w:rsidRPr="00654440">
        <w:rPr>
          <w:rFonts w:ascii="Times New Roman" w:hAnsi="Times New Roman" w:cs="Times New Roman"/>
          <w:sz w:val="24"/>
          <w:szCs w:val="24"/>
          <w:lang w:val="de-DE"/>
        </w:rPr>
        <w:t>67.</w:t>
      </w:r>
    </w:p>
    <w:p w:rsidR="00D6183D" w:rsidRPr="00CF374B" w:rsidRDefault="00D6183D" w:rsidP="0034362F">
      <w:pPr>
        <w:spacing w:line="360" w:lineRule="auto"/>
        <w:rPr>
          <w:rFonts w:ascii="Times New Roman" w:hAnsi="Times New Roman" w:cs="Times New Roman"/>
          <w:sz w:val="24"/>
          <w:szCs w:val="24"/>
          <w:lang w:val="en-US"/>
        </w:rPr>
      </w:pPr>
      <w:r w:rsidRPr="00CF374B">
        <w:rPr>
          <w:rFonts w:ascii="Times New Roman" w:hAnsi="Times New Roman" w:cs="Times New Roman"/>
          <w:sz w:val="24"/>
          <w:szCs w:val="24"/>
          <w:lang w:val="en-US"/>
        </w:rPr>
        <w:t xml:space="preserve">Zaviršek, Darja (2000). </w:t>
      </w:r>
      <w:r w:rsidRPr="00CF374B">
        <w:rPr>
          <w:rFonts w:ascii="Times New Roman" w:hAnsi="Times New Roman" w:cs="Times New Roman"/>
          <w:i/>
          <w:sz w:val="24"/>
          <w:szCs w:val="24"/>
          <w:lang w:val="en-US"/>
        </w:rPr>
        <w:t>Disability as a Cultural Trauma</w:t>
      </w:r>
      <w:r w:rsidRPr="00CF37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Orig.: </w:t>
      </w:r>
      <w:r w:rsidRPr="00CF374B">
        <w:rPr>
          <w:rFonts w:ascii="Times New Roman" w:hAnsi="Times New Roman" w:cs="Times New Roman"/>
          <w:sz w:val="24"/>
          <w:szCs w:val="24"/>
          <w:lang w:val="en-US"/>
        </w:rPr>
        <w:t>Hendikep kot kulturna travma)</w:t>
      </w:r>
      <w:r>
        <w:rPr>
          <w:rFonts w:ascii="Times New Roman" w:hAnsi="Times New Roman" w:cs="Times New Roman"/>
          <w:sz w:val="24"/>
          <w:szCs w:val="24"/>
          <w:lang w:val="en-US"/>
        </w:rPr>
        <w:t>, *</w:t>
      </w:r>
      <w:r w:rsidRPr="00CF374B">
        <w:rPr>
          <w:rFonts w:ascii="Times New Roman" w:hAnsi="Times New Roman" w:cs="Times New Roman"/>
          <w:i/>
          <w:sz w:val="24"/>
          <w:szCs w:val="24"/>
          <w:lang w:val="en-US"/>
        </w:rPr>
        <w:t>cf/</w:t>
      </w:r>
      <w:r>
        <w:rPr>
          <w:rFonts w:ascii="Times New Roman" w:hAnsi="Times New Roman" w:cs="Times New Roman"/>
          <w:sz w:val="24"/>
          <w:szCs w:val="24"/>
          <w:lang w:val="en-US"/>
        </w:rPr>
        <w:t xml:space="preserve">, Ljubljana. </w:t>
      </w:r>
    </w:p>
    <w:p w:rsidR="00176CD9" w:rsidRPr="00654440" w:rsidRDefault="00176CD9" w:rsidP="0034362F">
      <w:pPr>
        <w:spacing w:line="360" w:lineRule="auto"/>
        <w:rPr>
          <w:rFonts w:ascii="Times New Roman" w:hAnsi="Times New Roman" w:cs="Times New Roman"/>
          <w:sz w:val="24"/>
          <w:szCs w:val="24"/>
          <w:lang w:val="en-GB"/>
        </w:rPr>
      </w:pPr>
      <w:r w:rsidRPr="00CF374B">
        <w:rPr>
          <w:rFonts w:ascii="Times New Roman" w:hAnsi="Times New Roman" w:cs="Times New Roman"/>
          <w:sz w:val="24"/>
          <w:szCs w:val="24"/>
          <w:lang w:val="en-US"/>
        </w:rPr>
        <w:t xml:space="preserve"> </w:t>
      </w:r>
      <w:r w:rsidRPr="00654440">
        <w:rPr>
          <w:rFonts w:ascii="Times New Roman" w:hAnsi="Times New Roman" w:cs="Times New Roman"/>
          <w:bCs/>
          <w:sz w:val="24"/>
          <w:szCs w:val="24"/>
          <w:lang w:val="en-GB"/>
        </w:rPr>
        <w:t>Zaviršek, Darja (2002).</w:t>
      </w:r>
      <w:r w:rsidR="00654440">
        <w:rPr>
          <w:rFonts w:ascii="Times New Roman" w:hAnsi="Times New Roman" w:cs="Times New Roman"/>
          <w:bCs/>
          <w:sz w:val="24"/>
          <w:szCs w:val="24"/>
          <w:lang w:val="en-GB"/>
        </w:rPr>
        <w:t xml:space="preserve"> </w:t>
      </w:r>
      <w:r w:rsidRPr="00654440">
        <w:rPr>
          <w:rFonts w:ascii="Times New Roman" w:hAnsi="Times New Roman" w:cs="Times New Roman"/>
          <w:bCs/>
          <w:sz w:val="24"/>
          <w:szCs w:val="24"/>
          <w:lang w:val="en-GB"/>
        </w:rPr>
        <w:t xml:space="preserve"> </w:t>
      </w:r>
      <w:r w:rsidR="00654440">
        <w:rPr>
          <w:rFonts w:ascii="Times New Roman" w:hAnsi="Times New Roman" w:cs="Times New Roman"/>
          <w:bCs/>
          <w:sz w:val="24"/>
          <w:szCs w:val="24"/>
          <w:lang w:val="en-GB"/>
        </w:rPr>
        <w:t>“</w:t>
      </w:r>
      <w:r w:rsidRPr="00654440">
        <w:rPr>
          <w:rFonts w:ascii="Times New Roman" w:hAnsi="Times New Roman" w:cs="Times New Roman"/>
          <w:sz w:val="24"/>
          <w:szCs w:val="24"/>
          <w:lang w:val="en-GB"/>
        </w:rPr>
        <w:t>Pictures and Silences. Memories of sexual abuse of disabled people.</w:t>
      </w:r>
      <w:r w:rsidR="00654440">
        <w:rPr>
          <w:rFonts w:ascii="Times New Roman" w:hAnsi="Times New Roman" w:cs="Times New Roman"/>
          <w:sz w:val="24"/>
          <w:szCs w:val="24"/>
          <w:lang w:val="en-GB"/>
        </w:rPr>
        <w:t xml:space="preserve">” </w:t>
      </w:r>
      <w:r w:rsidRPr="00654440">
        <w:rPr>
          <w:rFonts w:ascii="Times New Roman" w:hAnsi="Times New Roman" w:cs="Times New Roman"/>
          <w:sz w:val="24"/>
          <w:szCs w:val="24"/>
          <w:lang w:val="en-GB"/>
        </w:rPr>
        <w:t xml:space="preserve"> </w:t>
      </w:r>
      <w:r w:rsidR="00654440">
        <w:rPr>
          <w:rFonts w:ascii="Times New Roman" w:hAnsi="Times New Roman" w:cs="Times New Roman"/>
          <w:sz w:val="24"/>
          <w:szCs w:val="24"/>
          <w:lang w:val="en-GB"/>
        </w:rPr>
        <w:t xml:space="preserve">In  </w:t>
      </w:r>
      <w:r w:rsidRPr="00654440">
        <w:rPr>
          <w:rFonts w:ascii="Times New Roman" w:hAnsi="Times New Roman" w:cs="Times New Roman"/>
          <w:i/>
          <w:sz w:val="24"/>
          <w:szCs w:val="24"/>
          <w:lang w:val="en-GB"/>
        </w:rPr>
        <w:t>International Journal of Social Welfare</w:t>
      </w:r>
      <w:r w:rsidR="00560D08">
        <w:rPr>
          <w:rFonts w:ascii="Times New Roman" w:hAnsi="Times New Roman" w:cs="Times New Roman"/>
          <w:sz w:val="24"/>
          <w:szCs w:val="24"/>
          <w:lang w:val="en-GB"/>
        </w:rPr>
        <w:t>. Vol. 11,</w:t>
      </w:r>
      <w:r w:rsidRPr="00654440">
        <w:rPr>
          <w:rFonts w:ascii="Times New Roman" w:hAnsi="Times New Roman" w:cs="Times New Roman"/>
          <w:sz w:val="24"/>
          <w:szCs w:val="24"/>
          <w:lang w:val="en-GB"/>
        </w:rPr>
        <w:t xml:space="preserve"> </w:t>
      </w:r>
      <w:r w:rsidR="00560D08">
        <w:rPr>
          <w:rFonts w:ascii="Times New Roman" w:hAnsi="Times New Roman" w:cs="Times New Roman"/>
          <w:sz w:val="24"/>
          <w:szCs w:val="24"/>
          <w:lang w:val="en-GB"/>
        </w:rPr>
        <w:t xml:space="preserve">no. </w:t>
      </w:r>
      <w:r w:rsidRPr="00654440">
        <w:rPr>
          <w:rFonts w:ascii="Times New Roman" w:hAnsi="Times New Roman" w:cs="Times New Roman"/>
          <w:sz w:val="24"/>
          <w:szCs w:val="24"/>
          <w:lang w:val="en-GB"/>
        </w:rPr>
        <w:t>4, 270</w:t>
      </w:r>
      <w:r w:rsidRPr="00654440">
        <w:rPr>
          <w:rFonts w:ascii="Times New Roman" w:hAnsi="Times New Roman" w:cs="Times New Roman"/>
          <w:sz w:val="24"/>
          <w:szCs w:val="24"/>
        </w:rPr>
        <w:t>‒</w:t>
      </w:r>
      <w:r w:rsidRPr="00654440">
        <w:rPr>
          <w:rFonts w:ascii="Times New Roman" w:hAnsi="Times New Roman" w:cs="Times New Roman"/>
          <w:sz w:val="24"/>
          <w:szCs w:val="24"/>
          <w:lang w:val="en-GB"/>
        </w:rPr>
        <w:t xml:space="preserve">285. </w:t>
      </w:r>
    </w:p>
    <w:p w:rsidR="00176CD9" w:rsidRPr="00654440" w:rsidRDefault="00176CD9" w:rsidP="0034362F">
      <w:pPr>
        <w:spacing w:line="360" w:lineRule="auto"/>
        <w:rPr>
          <w:rFonts w:ascii="Times New Roman" w:hAnsi="Times New Roman" w:cs="Times New Roman"/>
          <w:sz w:val="24"/>
          <w:szCs w:val="24"/>
          <w:lang w:val="en-GB"/>
        </w:rPr>
      </w:pPr>
      <w:r w:rsidRPr="00654440">
        <w:rPr>
          <w:rFonts w:ascii="Times New Roman" w:hAnsi="Times New Roman" w:cs="Times New Roman"/>
          <w:sz w:val="24"/>
          <w:szCs w:val="24"/>
        </w:rPr>
        <w:t xml:space="preserve">Zaviršek, Darja (2014). Time for Recognition: People with Disabilities Today. Guest editor. </w:t>
      </w:r>
      <w:r w:rsidRPr="00654440">
        <w:rPr>
          <w:rFonts w:ascii="Times New Roman" w:hAnsi="Times New Roman" w:cs="Times New Roman"/>
          <w:i/>
          <w:sz w:val="24"/>
          <w:szCs w:val="24"/>
          <w:lang w:val="en-US"/>
        </w:rPr>
        <w:t>Sozial Dialogue Magazine</w:t>
      </w:r>
      <w:r w:rsidRPr="00654440">
        <w:rPr>
          <w:rFonts w:ascii="Times New Roman" w:hAnsi="Times New Roman" w:cs="Times New Roman"/>
          <w:sz w:val="24"/>
          <w:szCs w:val="24"/>
          <w:lang w:val="en-US"/>
        </w:rPr>
        <w:t>. Hong Kong: IASSW Foundation, no. 9, 4‒11.</w:t>
      </w:r>
    </w:p>
    <w:p w:rsidR="00CD72AC" w:rsidRDefault="00CD72AC" w:rsidP="0034362F">
      <w:pPr>
        <w:spacing w:line="360" w:lineRule="auto"/>
      </w:pPr>
    </w:p>
    <w:sectPr w:rsidR="00CD72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32" w:rsidRDefault="00393232" w:rsidP="00176CD9">
      <w:pPr>
        <w:spacing w:after="0" w:line="240" w:lineRule="auto"/>
      </w:pPr>
      <w:r>
        <w:separator/>
      </w:r>
    </w:p>
  </w:endnote>
  <w:endnote w:type="continuationSeparator" w:id="0">
    <w:p w:rsidR="00393232" w:rsidRDefault="00393232" w:rsidP="0017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32" w:rsidRDefault="00393232" w:rsidP="00176CD9">
      <w:pPr>
        <w:spacing w:after="0" w:line="240" w:lineRule="auto"/>
      </w:pPr>
      <w:r>
        <w:separator/>
      </w:r>
    </w:p>
  </w:footnote>
  <w:footnote w:type="continuationSeparator" w:id="0">
    <w:p w:rsidR="00393232" w:rsidRDefault="00393232" w:rsidP="00176CD9">
      <w:pPr>
        <w:spacing w:after="0" w:line="240" w:lineRule="auto"/>
      </w:pPr>
      <w:r>
        <w:continuationSeparator/>
      </w:r>
    </w:p>
  </w:footnote>
  <w:footnote w:id="1">
    <w:p w:rsidR="00176CD9" w:rsidRDefault="00176CD9" w:rsidP="00176CD9">
      <w:pPr>
        <w:pStyle w:val="Sprotnaopomba-besedilo"/>
        <w:rPr>
          <w:rFonts w:ascii="Times New Roman" w:hAnsi="Times New Roman" w:cs="Times New Roman"/>
          <w:b/>
          <w:lang w:val="en-US"/>
        </w:rPr>
      </w:pPr>
      <w:r>
        <w:rPr>
          <w:rStyle w:val="Sprotnaopomba-sklic"/>
          <w:rFonts w:ascii="Times New Roman" w:hAnsi="Times New Roman" w:cs="Times New Roman"/>
        </w:rPr>
        <w:footnoteRef/>
      </w:r>
      <w:r>
        <w:rPr>
          <w:rFonts w:ascii="Times New Roman" w:hAnsi="Times New Roman" w:cs="Times New Roman"/>
          <w:lang w:val="en-US"/>
        </w:rPr>
        <w:t xml:space="preserve"> Slovenia was part of Yugoslavia from 1945 until 1991.</w:t>
      </w:r>
    </w:p>
  </w:footnote>
  <w:footnote w:id="2">
    <w:p w:rsidR="00176CD9" w:rsidRDefault="00176CD9" w:rsidP="00176CD9">
      <w:pPr>
        <w:rPr>
          <w:rFonts w:ascii="Times New Roman" w:hAnsi="Times New Roman" w:cs="Times New Roman"/>
          <w:sz w:val="20"/>
          <w:szCs w:val="20"/>
          <w:lang w:val="en-GB"/>
        </w:rPr>
      </w:pPr>
      <w:r>
        <w:rPr>
          <w:rStyle w:val="Sprotnaopomba-sklic"/>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sz w:val="20"/>
          <w:szCs w:val="20"/>
          <w:lang w:val="en-GB"/>
        </w:rPr>
        <w:t xml:space="preserve">In 2014 the National Reform Programme of the Slovenian government defined deinstitutionalisation as a governmental strategy, but so far the strategy has not been implemented.  </w:t>
      </w:r>
    </w:p>
  </w:footnote>
  <w:footnote w:id="3">
    <w:p w:rsidR="00176CD9" w:rsidRDefault="00176CD9" w:rsidP="00176CD9">
      <w:pPr>
        <w:rPr>
          <w:rFonts w:ascii="Times New Roman" w:hAnsi="Times New Roman" w:cs="Times New Roman"/>
          <w:sz w:val="20"/>
          <w:szCs w:val="20"/>
          <w:lang w:val="en-GB"/>
        </w:rPr>
      </w:pPr>
      <w:r>
        <w:rPr>
          <w:rStyle w:val="Sprotnaopomba-sklic"/>
          <w:rFonts w:ascii="Times New Roman" w:hAnsi="Times New Roman" w:cs="Times New Roman"/>
          <w:sz w:val="20"/>
          <w:szCs w:val="20"/>
        </w:rPr>
        <w:footnoteRef/>
      </w:r>
      <w:r>
        <w:rPr>
          <w:rFonts w:ascii="Times New Roman" w:hAnsi="Times New Roman" w:cs="Times New Roman"/>
          <w:sz w:val="20"/>
          <w:szCs w:val="20"/>
        </w:rPr>
        <w:t xml:space="preserve"> See my referenced publications.</w:t>
      </w:r>
    </w:p>
  </w:footnote>
  <w:footnote w:id="4">
    <w:p w:rsidR="00176CD9" w:rsidRDefault="00176CD9" w:rsidP="00176CD9">
      <w:pPr>
        <w:pStyle w:val="Sprotnaopomba-besedilo"/>
        <w:rPr>
          <w:rFonts w:ascii="Times New Roman" w:hAnsi="Times New Roman" w:cs="Times New Roman"/>
          <w:b/>
          <w:lang w:val="en-US"/>
        </w:rPr>
      </w:pPr>
      <w:r>
        <w:rPr>
          <w:rStyle w:val="Sprotnaopomba-sklic"/>
          <w:rFonts w:ascii="Times New Roman" w:hAnsi="Times New Roman" w:cs="Times New Roman"/>
        </w:rPr>
        <w:footnoteRef/>
      </w:r>
      <w:r>
        <w:rPr>
          <w:rFonts w:ascii="Times New Roman" w:hAnsi="Times New Roman" w:cs="Times New Roman"/>
          <w:lang w:val="en-US"/>
        </w:rPr>
        <w:t xml:space="preserve"> “Teacher”was a common name for staff in long-stay institutions for children during socialism. The socialist word ‘teacher’ is based on the word </w:t>
      </w:r>
      <w:r>
        <w:rPr>
          <w:rFonts w:ascii="Times New Roman" w:hAnsi="Times New Roman" w:cs="Times New Roman"/>
          <w:i/>
          <w:lang w:val="en-US"/>
        </w:rPr>
        <w:t>tovariš</w:t>
      </w:r>
      <w:r>
        <w:rPr>
          <w:rFonts w:ascii="Times New Roman" w:hAnsi="Times New Roman" w:cs="Times New Roman"/>
          <w:lang w:val="en-US"/>
        </w:rPr>
        <w:t xml:space="preserve">, meaning male comrade, and </w:t>
      </w:r>
      <w:r>
        <w:rPr>
          <w:rFonts w:ascii="Times New Roman" w:hAnsi="Times New Roman" w:cs="Times New Roman"/>
          <w:i/>
          <w:lang w:val="en-US"/>
        </w:rPr>
        <w:t>tovarišica</w:t>
      </w:r>
      <w:r>
        <w:rPr>
          <w:rFonts w:ascii="Times New Roman" w:hAnsi="Times New Roman" w:cs="Times New Roman"/>
          <w:lang w:val="en-US"/>
        </w:rPr>
        <w:t xml:space="preserve">, female comrade. The word has been changed after 1991 into </w:t>
      </w:r>
      <w:r>
        <w:rPr>
          <w:rFonts w:ascii="Times New Roman" w:hAnsi="Times New Roman" w:cs="Times New Roman"/>
          <w:i/>
          <w:lang w:val="en-US"/>
        </w:rPr>
        <w:t>učitelj/učiteljica.</w:t>
      </w:r>
      <w:r>
        <w:rPr>
          <w:rFonts w:ascii="Times New Roman" w:hAnsi="Times New Roman" w:cs="Times New Roman"/>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D9"/>
    <w:rsid w:val="00176CD9"/>
    <w:rsid w:val="00187027"/>
    <w:rsid w:val="001B0A2A"/>
    <w:rsid w:val="00297F3E"/>
    <w:rsid w:val="0034362F"/>
    <w:rsid w:val="00393232"/>
    <w:rsid w:val="00560D08"/>
    <w:rsid w:val="00654440"/>
    <w:rsid w:val="0065637E"/>
    <w:rsid w:val="006D11FA"/>
    <w:rsid w:val="00715B18"/>
    <w:rsid w:val="007E38F9"/>
    <w:rsid w:val="00BC5EB5"/>
    <w:rsid w:val="00BD5B21"/>
    <w:rsid w:val="00CD72AC"/>
    <w:rsid w:val="00CF374B"/>
    <w:rsid w:val="00D6183D"/>
    <w:rsid w:val="00E91D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6C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176CD9"/>
    <w:pPr>
      <w:spacing w:after="0" w:line="240" w:lineRule="auto"/>
    </w:pPr>
    <w:rPr>
      <w:sz w:val="20"/>
      <w:szCs w:val="20"/>
      <w:lang w:val="fr-CH"/>
    </w:rPr>
  </w:style>
  <w:style w:type="character" w:customStyle="1" w:styleId="Sprotnaopomba-besediloZnak">
    <w:name w:val="Sprotna opomba - besedilo Znak"/>
    <w:basedOn w:val="Privzetapisavaodstavka"/>
    <w:link w:val="Sprotnaopomba-besedilo"/>
    <w:uiPriority w:val="99"/>
    <w:semiHidden/>
    <w:rsid w:val="00176CD9"/>
    <w:rPr>
      <w:sz w:val="20"/>
      <w:szCs w:val="20"/>
      <w:lang w:val="fr-CH"/>
    </w:rPr>
  </w:style>
  <w:style w:type="paragraph" w:styleId="Brezrazmikov">
    <w:name w:val="No Spacing"/>
    <w:uiPriority w:val="1"/>
    <w:qFormat/>
    <w:rsid w:val="00176CD9"/>
    <w:pPr>
      <w:spacing w:after="0" w:line="240" w:lineRule="auto"/>
    </w:pPr>
    <w:rPr>
      <w:rFonts w:ascii="Times New Roman" w:eastAsia="Arial Unicode MS" w:hAnsi="Times New Roman" w:cs="Times New Roman"/>
      <w:sz w:val="24"/>
      <w:szCs w:val="24"/>
      <w:lang w:val="en-US"/>
    </w:rPr>
  </w:style>
  <w:style w:type="character" w:styleId="Sprotnaopomba-sklic">
    <w:name w:val="footnote reference"/>
    <w:basedOn w:val="Privzetapisavaodstavka"/>
    <w:uiPriority w:val="99"/>
    <w:semiHidden/>
    <w:unhideWhenUsed/>
    <w:rsid w:val="00176CD9"/>
    <w:rPr>
      <w:vertAlign w:val="superscript"/>
    </w:rPr>
  </w:style>
  <w:style w:type="character" w:customStyle="1" w:styleId="st">
    <w:name w:val="st"/>
    <w:basedOn w:val="Privzetapisavaodstavka"/>
    <w:rsid w:val="00654440"/>
  </w:style>
  <w:style w:type="character" w:styleId="Poudarek">
    <w:name w:val="Emphasis"/>
    <w:basedOn w:val="Privzetapisavaodstavka"/>
    <w:uiPriority w:val="20"/>
    <w:qFormat/>
    <w:rsid w:val="00654440"/>
    <w:rPr>
      <w:i/>
      <w:iCs/>
    </w:rPr>
  </w:style>
  <w:style w:type="paragraph" w:styleId="Besedilooblaka">
    <w:name w:val="Balloon Text"/>
    <w:basedOn w:val="Navaden"/>
    <w:link w:val="BesedilooblakaZnak"/>
    <w:uiPriority w:val="99"/>
    <w:semiHidden/>
    <w:unhideWhenUsed/>
    <w:rsid w:val="00E91D7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1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6C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176CD9"/>
    <w:pPr>
      <w:spacing w:after="0" w:line="240" w:lineRule="auto"/>
    </w:pPr>
    <w:rPr>
      <w:sz w:val="20"/>
      <w:szCs w:val="20"/>
      <w:lang w:val="fr-CH"/>
    </w:rPr>
  </w:style>
  <w:style w:type="character" w:customStyle="1" w:styleId="Sprotnaopomba-besediloZnak">
    <w:name w:val="Sprotna opomba - besedilo Znak"/>
    <w:basedOn w:val="Privzetapisavaodstavka"/>
    <w:link w:val="Sprotnaopomba-besedilo"/>
    <w:uiPriority w:val="99"/>
    <w:semiHidden/>
    <w:rsid w:val="00176CD9"/>
    <w:rPr>
      <w:sz w:val="20"/>
      <w:szCs w:val="20"/>
      <w:lang w:val="fr-CH"/>
    </w:rPr>
  </w:style>
  <w:style w:type="paragraph" w:styleId="Brezrazmikov">
    <w:name w:val="No Spacing"/>
    <w:uiPriority w:val="1"/>
    <w:qFormat/>
    <w:rsid w:val="00176CD9"/>
    <w:pPr>
      <w:spacing w:after="0" w:line="240" w:lineRule="auto"/>
    </w:pPr>
    <w:rPr>
      <w:rFonts w:ascii="Times New Roman" w:eastAsia="Arial Unicode MS" w:hAnsi="Times New Roman" w:cs="Times New Roman"/>
      <w:sz w:val="24"/>
      <w:szCs w:val="24"/>
      <w:lang w:val="en-US"/>
    </w:rPr>
  </w:style>
  <w:style w:type="character" w:styleId="Sprotnaopomba-sklic">
    <w:name w:val="footnote reference"/>
    <w:basedOn w:val="Privzetapisavaodstavka"/>
    <w:uiPriority w:val="99"/>
    <w:semiHidden/>
    <w:unhideWhenUsed/>
    <w:rsid w:val="00176CD9"/>
    <w:rPr>
      <w:vertAlign w:val="superscript"/>
    </w:rPr>
  </w:style>
  <w:style w:type="character" w:customStyle="1" w:styleId="st">
    <w:name w:val="st"/>
    <w:basedOn w:val="Privzetapisavaodstavka"/>
    <w:rsid w:val="00654440"/>
  </w:style>
  <w:style w:type="character" w:styleId="Poudarek">
    <w:name w:val="Emphasis"/>
    <w:basedOn w:val="Privzetapisavaodstavka"/>
    <w:uiPriority w:val="20"/>
    <w:qFormat/>
    <w:rsid w:val="00654440"/>
    <w:rPr>
      <w:i/>
      <w:iCs/>
    </w:rPr>
  </w:style>
  <w:style w:type="paragraph" w:styleId="Besedilooblaka">
    <w:name w:val="Balloon Text"/>
    <w:basedOn w:val="Navaden"/>
    <w:link w:val="BesedilooblakaZnak"/>
    <w:uiPriority w:val="99"/>
    <w:semiHidden/>
    <w:unhideWhenUsed/>
    <w:rsid w:val="00E91D7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1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1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F3505CFB041479548EA54A762C712" ma:contentTypeVersion="13" ma:contentTypeDescription="Create a new document." ma:contentTypeScope="" ma:versionID="f44bc05d86b10448513c65f54c81ade9">
  <xsd:schema xmlns:xsd="http://www.w3.org/2001/XMLSchema" xmlns:xs="http://www.w3.org/2001/XMLSchema" xmlns:p="http://schemas.microsoft.com/office/2006/metadata/properties" xmlns:ns2="929050fc-a64c-4170-a2df-999e78fe514f" xmlns:ns3="c58761a7-c557-4c79-a7b7-f1bb556a2199" targetNamespace="http://schemas.microsoft.com/office/2006/metadata/properties" ma:root="true" ma:fieldsID="9fdfb427c2897f858ef8a112751cb2ea" ns2:_="" ns3:_="">
    <xsd:import namespace="929050fc-a64c-4170-a2df-999e78fe514f"/>
    <xsd:import namespace="c58761a7-c557-4c79-a7b7-f1bb556a21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050fc-a64c-4170-a2df-999e78fe5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8761a7-c557-4c79-a7b7-f1bb556a21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C7B60-5A3B-4B8B-AE24-AF6D0CB5ECE6}"/>
</file>

<file path=customXml/itemProps2.xml><?xml version="1.0" encoding="utf-8"?>
<ds:datastoreItem xmlns:ds="http://schemas.openxmlformats.org/officeDocument/2006/customXml" ds:itemID="{AA8DAABC-5B01-48CC-A9EB-5D27789F9B50}"/>
</file>

<file path=customXml/itemProps3.xml><?xml version="1.0" encoding="utf-8"?>
<ds:datastoreItem xmlns:ds="http://schemas.openxmlformats.org/officeDocument/2006/customXml" ds:itemID="{C791BE02-AE3F-4AF6-8CCE-B0DC23B0E58E}"/>
</file>

<file path=docProps/app.xml><?xml version="1.0" encoding="utf-8"?>
<Properties xmlns="http://schemas.openxmlformats.org/officeDocument/2006/extended-properties" xmlns:vt="http://schemas.openxmlformats.org/officeDocument/2006/docPropsVTypes">
  <Template>Normal</Template>
  <TotalTime>97</TotalTime>
  <Pages>6</Pages>
  <Words>1828</Words>
  <Characters>10424</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Gržinić</dc:creator>
  <cp:lastModifiedBy>Darja</cp:lastModifiedBy>
  <cp:revision>8</cp:revision>
  <dcterms:created xsi:type="dcterms:W3CDTF">2017-12-17T20:45:00Z</dcterms:created>
  <dcterms:modified xsi:type="dcterms:W3CDTF">2018-02-06T20:13:00Z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0x010100757F3505CFB041479548EA54A762C712</vt:lpwstr>
  </property>
</Properties>
</file>