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DB662" w14:textId="59C224F9" w:rsidR="0082233A" w:rsidRPr="00C53612" w:rsidRDefault="00855D34">
      <w:pPr>
        <w:rPr>
          <w:rFonts w:ascii="Helvetica" w:hAnsi="Helvetica"/>
          <w:b/>
          <w:sz w:val="28"/>
          <w:lang w:val="en-GB"/>
        </w:rPr>
      </w:pPr>
      <w:r>
        <w:rPr>
          <w:noProof/>
        </w:rPr>
        <mc:AlternateContent>
          <mc:Choice Requires="wps">
            <w:drawing>
              <wp:anchor distT="0" distB="0" distL="114300" distR="114300" simplePos="0" relativeHeight="251660288" behindDoc="0" locked="0" layoutInCell="1" allowOverlap="1" wp14:anchorId="092CD438" wp14:editId="686A25F0">
                <wp:simplePos x="0" y="0"/>
                <wp:positionH relativeFrom="column">
                  <wp:posOffset>509270</wp:posOffset>
                </wp:positionH>
                <wp:positionV relativeFrom="paragraph">
                  <wp:posOffset>1310005</wp:posOffset>
                </wp:positionV>
                <wp:extent cx="6136005" cy="2609850"/>
                <wp:effectExtent l="0" t="0" r="0" b="0"/>
                <wp:wrapSquare wrapText="bothSides"/>
                <wp:docPr id="1767869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260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6079B073" w:rsidR="006B49B2" w:rsidRPr="00915419" w:rsidRDefault="00A83B4C" w:rsidP="00C24A50">
                            <w:pPr>
                              <w:rPr>
                                <w:rFonts w:ascii="Helvetica" w:hAnsi="Helvetica"/>
                                <w:b/>
                                <w:color w:val="FFFFFF" w:themeColor="background1"/>
                                <w:sz w:val="36"/>
                                <w:szCs w:val="36"/>
                                <w:lang w:val="en-US"/>
                              </w:rPr>
                            </w:pPr>
                            <w:bookmarkStart w:id="0" w:name="_Hlk185438681"/>
                            <w:r w:rsidRPr="00915419">
                              <w:rPr>
                                <w:rFonts w:ascii="Helvetica" w:hAnsi="Helvetica"/>
                                <w:b/>
                                <w:color w:val="FFFFFF" w:themeColor="background1"/>
                                <w:sz w:val="36"/>
                                <w:szCs w:val="36"/>
                                <w:lang w:val="en-US"/>
                              </w:rPr>
                              <w:t>Reimagining EU Funds</w:t>
                            </w:r>
                            <w:r w:rsidR="00736EC8" w:rsidRPr="00915419">
                              <w:rPr>
                                <w:rFonts w:ascii="Helvetica" w:hAnsi="Helvetica"/>
                                <w:b/>
                                <w:color w:val="FFFFFF" w:themeColor="background1"/>
                                <w:sz w:val="36"/>
                                <w:szCs w:val="36"/>
                                <w:lang w:val="en-US"/>
                              </w:rPr>
                              <w:t xml:space="preserve">: Recommendations </w:t>
                            </w:r>
                            <w:r w:rsidR="00915419" w:rsidRPr="00915419">
                              <w:rPr>
                                <w:rFonts w:ascii="Helvetica" w:hAnsi="Helvetica"/>
                                <w:b/>
                                <w:color w:val="FFFFFF" w:themeColor="background1"/>
                                <w:sz w:val="36"/>
                                <w:szCs w:val="36"/>
                                <w:lang w:val="en-US"/>
                              </w:rPr>
                              <w:t>for the European Commission to promote independent living</w:t>
                            </w:r>
                          </w:p>
                          <w:bookmarkEnd w:id="0"/>
                          <w:p w14:paraId="043E219C" w14:textId="2D10A4F7" w:rsidR="00CF415A" w:rsidRPr="00915419" w:rsidRDefault="00E157F0" w:rsidP="00C24A50">
                            <w:pPr>
                              <w:rPr>
                                <w:rFonts w:ascii="Helvetica" w:hAnsi="Helvetica"/>
                                <w:b/>
                                <w:color w:val="FFFFFF" w:themeColor="background1"/>
                                <w:sz w:val="36"/>
                                <w:szCs w:val="36"/>
                                <w:lang w:val="en-GB"/>
                              </w:rPr>
                            </w:pPr>
                            <w:r w:rsidRPr="00915419">
                              <w:rPr>
                                <w:rFonts w:ascii="Helvetica" w:hAnsi="Helvetica"/>
                                <w:b/>
                                <w:color w:val="FFFFFF" w:themeColor="background1"/>
                                <w:sz w:val="32"/>
                                <w:szCs w:val="32"/>
                                <w:lang w:val="en-GB"/>
                              </w:rPr>
                              <w:t>December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CD438" id="_x0000_t202" coordsize="21600,21600" o:spt="202" path="m,l,21600r21600,l21600,xe">
                <v:stroke joinstyle="miter"/>
                <v:path gradientshapeok="t" o:connecttype="rect"/>
              </v:shapetype>
              <v:shape id="Zone de texte 2" o:spid="_x0000_s1026" type="#_x0000_t202" style="position:absolute;margin-left:40.1pt;margin-top:103.15pt;width:483.1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" filled="f" stroked="f">
                <v:textbox>
                  <w:txbxContent>
                    <w:p w14:paraId="2F766C4F" w14:textId="6079B073" w:rsidR="006B49B2" w:rsidRPr="00915419" w:rsidRDefault="00A83B4C" w:rsidP="00C24A50">
                      <w:pPr>
                        <w:rPr>
                          <w:rFonts w:ascii="Helvetica" w:hAnsi="Helvetica"/>
                          <w:b/>
                          <w:color w:val="FFFFFF" w:themeColor="background1"/>
                          <w:sz w:val="36"/>
                          <w:szCs w:val="36"/>
                          <w:lang w:val="en-US"/>
                        </w:rPr>
                      </w:pPr>
                      <w:bookmarkStart w:id="1" w:name="_Hlk185438681"/>
                      <w:r w:rsidRPr="00915419">
                        <w:rPr>
                          <w:rFonts w:ascii="Helvetica" w:hAnsi="Helvetica"/>
                          <w:b/>
                          <w:color w:val="FFFFFF" w:themeColor="background1"/>
                          <w:sz w:val="36"/>
                          <w:szCs w:val="36"/>
                          <w:lang w:val="en-US"/>
                        </w:rPr>
                        <w:t>Reimagining EU Funds</w:t>
                      </w:r>
                      <w:r w:rsidR="00736EC8" w:rsidRPr="00915419">
                        <w:rPr>
                          <w:rFonts w:ascii="Helvetica" w:hAnsi="Helvetica"/>
                          <w:b/>
                          <w:color w:val="FFFFFF" w:themeColor="background1"/>
                          <w:sz w:val="36"/>
                          <w:szCs w:val="36"/>
                          <w:lang w:val="en-US"/>
                        </w:rPr>
                        <w:t xml:space="preserve">: Recommendations </w:t>
                      </w:r>
                      <w:r w:rsidR="00915419" w:rsidRPr="00915419">
                        <w:rPr>
                          <w:rFonts w:ascii="Helvetica" w:hAnsi="Helvetica"/>
                          <w:b/>
                          <w:color w:val="FFFFFF" w:themeColor="background1"/>
                          <w:sz w:val="36"/>
                          <w:szCs w:val="36"/>
                          <w:lang w:val="en-US"/>
                        </w:rPr>
                        <w:t>for the European Commission to promote independent living</w:t>
                      </w:r>
                    </w:p>
                    <w:bookmarkEnd w:id="1"/>
                    <w:p w14:paraId="043E219C" w14:textId="2D10A4F7" w:rsidR="00CF415A" w:rsidRPr="00915419" w:rsidRDefault="00E157F0" w:rsidP="00C24A50">
                      <w:pPr>
                        <w:rPr>
                          <w:rFonts w:ascii="Helvetica" w:hAnsi="Helvetica"/>
                          <w:b/>
                          <w:color w:val="FFFFFF" w:themeColor="background1"/>
                          <w:sz w:val="36"/>
                          <w:szCs w:val="36"/>
                          <w:lang w:val="en-GB"/>
                        </w:rPr>
                      </w:pPr>
                      <w:r w:rsidRPr="00915419">
                        <w:rPr>
                          <w:rFonts w:ascii="Helvetica" w:hAnsi="Helvetica"/>
                          <w:b/>
                          <w:color w:val="FFFFFF" w:themeColor="background1"/>
                          <w:sz w:val="32"/>
                          <w:szCs w:val="32"/>
                          <w:lang w:val="en-GB"/>
                        </w:rPr>
                        <w:t>December 2024</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4BBD39B" wp14:editId="13472A46">
                <wp:simplePos x="0" y="0"/>
                <wp:positionH relativeFrom="column">
                  <wp:posOffset>415290</wp:posOffset>
                </wp:positionH>
                <wp:positionV relativeFrom="paragraph">
                  <wp:posOffset>1267460</wp:posOffset>
                </wp:positionV>
                <wp:extent cx="6231255" cy="1473200"/>
                <wp:effectExtent l="0" t="0" r="0" b="0"/>
                <wp:wrapThrough wrapText="bothSides">
                  <wp:wrapPolygon edited="0">
                    <wp:start x="0" y="0"/>
                    <wp:lineTo x="0" y="21228"/>
                    <wp:lineTo x="21527" y="21228"/>
                    <wp:lineTo x="21527" y="0"/>
                    <wp:lineTo x="0" y="0"/>
                  </wp:wrapPolygon>
                </wp:wrapThrough>
                <wp:docPr id="1440243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255" cy="1473200"/>
                        </a:xfrm>
                        <a:prstGeom prst="rect">
                          <a:avLst/>
                        </a:prstGeom>
                        <a:solidFill>
                          <a:schemeClr val="accent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A88BE" id="Rectangle 1" o:spid="_x0000_s1026" style="position:absolute;margin-left:32.7pt;margin-top:99.8pt;width:490.6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" fillcolor="#a5300f [3204]" stroked="f" strokeweight="2pt">
                <v:fill opacity="55769f"/>
                <w10:wrap type="through"/>
              </v:rect>
            </w:pict>
          </mc:Fallback>
        </mc:AlternateContent>
      </w:r>
      <w:r w:rsidR="007A0B12" w:rsidRPr="00C53612">
        <w:rPr>
          <w:rFonts w:ascii="Helvetica" w:hAnsi="Helvetica"/>
          <w:b/>
          <w:noProof/>
          <w:sz w:val="40"/>
          <w:szCs w:val="40"/>
          <w:lang w:val="en-GB"/>
        </w:rPr>
        <w:drawing>
          <wp:anchor distT="0" distB="0" distL="114300" distR="114300" simplePos="0" relativeHeight="251661312" behindDoc="0" locked="0" layoutInCell="1" allowOverlap="1" wp14:anchorId="6C205773" wp14:editId="77FFA4B8">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0A" w:rsidRPr="00C53612">
        <w:rPr>
          <w:rFonts w:ascii="Helvetica" w:hAnsi="Helvetica"/>
          <w:b/>
          <w:noProof/>
          <w:sz w:val="28"/>
          <w:lang w:val="en-GB"/>
        </w:rPr>
        <w:drawing>
          <wp:anchor distT="0" distB="0" distL="114300" distR="114300" simplePos="0" relativeHeight="251658240" behindDoc="0" locked="0" layoutInCell="1" allowOverlap="1" wp14:anchorId="4F9E7C3F" wp14:editId="450B7957">
            <wp:simplePos x="0" y="0"/>
            <wp:positionH relativeFrom="column">
              <wp:posOffset>-2905125</wp:posOffset>
            </wp:positionH>
            <wp:positionV relativeFrom="page">
              <wp:posOffset>1905</wp:posOffset>
            </wp:positionV>
            <wp:extent cx="16087090" cy="10724515"/>
            <wp:effectExtent l="0" t="0" r="0" b="0"/>
            <wp:wrapSquare wrapText="bothSides"/>
            <wp:docPr id="2" name="Picture 2" descr="../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C53612">
        <w:rPr>
          <w:rFonts w:ascii="Helvetica" w:hAnsi="Helvetica"/>
          <w:b/>
          <w:sz w:val="28"/>
          <w:lang w:val="en-GB"/>
        </w:rPr>
        <w:br w:type="page"/>
      </w:r>
    </w:p>
    <w:p w14:paraId="30FCCFB5" w14:textId="2F4416A9" w:rsidR="0015348B" w:rsidRPr="00915419" w:rsidRDefault="00915419" w:rsidP="00915419">
      <w:pPr>
        <w:jc w:val="center"/>
        <w:rPr>
          <w:rFonts w:ascii="Helvetica" w:hAnsi="Helvetica"/>
          <w:b/>
          <w:color w:val="A5300F" w:themeColor="accent1"/>
          <w:sz w:val="48"/>
          <w:szCs w:val="48"/>
          <w:lang w:val="en-US"/>
        </w:rPr>
      </w:pPr>
      <w:r w:rsidRPr="00915419">
        <w:rPr>
          <w:rFonts w:ascii="Helvetica" w:hAnsi="Helvetica"/>
          <w:b/>
          <w:color w:val="A5300F" w:themeColor="accent1"/>
          <w:sz w:val="48"/>
          <w:szCs w:val="48"/>
          <w:lang w:val="en-US"/>
        </w:rPr>
        <w:lastRenderedPageBreak/>
        <w:t>Reimagining EU Funds: Recommendations for the European Commission to promote independent living</w:t>
      </w:r>
    </w:p>
    <w:sdt>
      <w:sdtPr>
        <w:rPr>
          <w:rFonts w:asciiTheme="minorHAnsi" w:hAnsiTheme="minorHAnsi"/>
          <w:color w:val="auto"/>
          <w:sz w:val="21"/>
          <w:szCs w:val="21"/>
          <w:lang w:val="fr-FR"/>
        </w:rPr>
        <w:id w:val="1518890409"/>
        <w:docPartObj>
          <w:docPartGallery w:val="Table of Contents"/>
          <w:docPartUnique/>
        </w:docPartObj>
      </w:sdtPr>
      <w:sdtEndPr>
        <w:rPr>
          <w:b/>
          <w:bCs/>
        </w:rPr>
      </w:sdtEndPr>
      <w:sdtContent>
        <w:p w14:paraId="34ADC465" w14:textId="57B4D62A" w:rsidR="00902E27" w:rsidRDefault="00902E27">
          <w:pPr>
            <w:pStyle w:val="En-ttedetabledesmatires"/>
          </w:pPr>
          <w:r>
            <w:rPr>
              <w:lang w:val="fr-FR"/>
            </w:rPr>
            <w:t>Table of contents</w:t>
          </w:r>
        </w:p>
        <w:p w14:paraId="16471CC4" w14:textId="728FF73D" w:rsidR="000C263B" w:rsidRDefault="00902E27">
          <w:pPr>
            <w:pStyle w:val="TM1"/>
            <w:rPr>
              <w:iCs w:val="0"/>
              <w:noProof/>
              <w:kern w:val="2"/>
              <w:sz w:val="24"/>
              <w:szCs w:val="24"/>
              <w:lang w:val="fr-BE" w:eastAsia="fr-BE"/>
              <w14:ligatures w14:val="standardContextual"/>
            </w:rPr>
          </w:pPr>
          <w:r>
            <w:fldChar w:fldCharType="begin"/>
          </w:r>
          <w:r>
            <w:instrText xml:space="preserve"> TOC \o "1-3" \h \z \u </w:instrText>
          </w:r>
          <w:r>
            <w:fldChar w:fldCharType="separate"/>
          </w:r>
          <w:hyperlink w:anchor="_Toc185439114" w:history="1">
            <w:r w:rsidR="000C263B" w:rsidRPr="00BC2EDD">
              <w:rPr>
                <w:rStyle w:val="Lienhypertexte"/>
                <w:rFonts w:ascii="Helvetica" w:hAnsi="Helvetica"/>
                <w:b/>
                <w:bCs/>
                <w:noProof/>
                <w:lang w:val="en-GB"/>
              </w:rPr>
              <w:t>Introduction</w:t>
            </w:r>
            <w:r w:rsidR="000C263B">
              <w:rPr>
                <w:noProof/>
                <w:webHidden/>
              </w:rPr>
              <w:tab/>
            </w:r>
            <w:r w:rsidR="000C263B">
              <w:rPr>
                <w:noProof/>
                <w:webHidden/>
              </w:rPr>
              <w:fldChar w:fldCharType="begin"/>
            </w:r>
            <w:r w:rsidR="000C263B">
              <w:rPr>
                <w:noProof/>
                <w:webHidden/>
              </w:rPr>
              <w:instrText xml:space="preserve"> PAGEREF _Toc185439114 \h </w:instrText>
            </w:r>
            <w:r w:rsidR="000C263B">
              <w:rPr>
                <w:noProof/>
                <w:webHidden/>
              </w:rPr>
            </w:r>
            <w:r w:rsidR="000C263B">
              <w:rPr>
                <w:noProof/>
                <w:webHidden/>
              </w:rPr>
              <w:fldChar w:fldCharType="separate"/>
            </w:r>
            <w:r w:rsidR="00686082">
              <w:rPr>
                <w:noProof/>
                <w:webHidden/>
              </w:rPr>
              <w:t>3</w:t>
            </w:r>
            <w:r w:rsidR="000C263B">
              <w:rPr>
                <w:noProof/>
                <w:webHidden/>
              </w:rPr>
              <w:fldChar w:fldCharType="end"/>
            </w:r>
          </w:hyperlink>
        </w:p>
        <w:p w14:paraId="41275BC0" w14:textId="3E6C40C8" w:rsidR="000C263B" w:rsidRDefault="000C263B">
          <w:pPr>
            <w:pStyle w:val="TM1"/>
            <w:rPr>
              <w:iCs w:val="0"/>
              <w:noProof/>
              <w:kern w:val="2"/>
              <w:sz w:val="24"/>
              <w:szCs w:val="24"/>
              <w:lang w:val="fr-BE" w:eastAsia="fr-BE"/>
              <w14:ligatures w14:val="standardContextual"/>
            </w:rPr>
          </w:pPr>
          <w:hyperlink w:anchor="_Toc185439115" w:history="1">
            <w:r w:rsidRPr="00BC2EDD">
              <w:rPr>
                <w:rStyle w:val="Lienhypertexte"/>
                <w:rFonts w:ascii="Helvetica" w:hAnsi="Helvetica"/>
                <w:b/>
                <w:bCs/>
                <w:noProof/>
                <w:lang w:val="en-GB"/>
              </w:rPr>
              <w:t>Integrating the UNCRPD Committee’s interpretation</w:t>
            </w:r>
            <w:r>
              <w:rPr>
                <w:noProof/>
                <w:webHidden/>
              </w:rPr>
              <w:tab/>
            </w:r>
            <w:r>
              <w:rPr>
                <w:noProof/>
                <w:webHidden/>
              </w:rPr>
              <w:fldChar w:fldCharType="begin"/>
            </w:r>
            <w:r>
              <w:rPr>
                <w:noProof/>
                <w:webHidden/>
              </w:rPr>
              <w:instrText xml:space="preserve"> PAGEREF _Toc185439115 \h </w:instrText>
            </w:r>
            <w:r>
              <w:rPr>
                <w:noProof/>
                <w:webHidden/>
              </w:rPr>
            </w:r>
            <w:r>
              <w:rPr>
                <w:noProof/>
                <w:webHidden/>
              </w:rPr>
              <w:fldChar w:fldCharType="separate"/>
            </w:r>
            <w:r w:rsidR="00686082">
              <w:rPr>
                <w:noProof/>
                <w:webHidden/>
              </w:rPr>
              <w:t>4</w:t>
            </w:r>
            <w:r>
              <w:rPr>
                <w:noProof/>
                <w:webHidden/>
              </w:rPr>
              <w:fldChar w:fldCharType="end"/>
            </w:r>
          </w:hyperlink>
        </w:p>
        <w:p w14:paraId="1DF7B8B5" w14:textId="004CA404" w:rsidR="000C263B" w:rsidRDefault="000C263B">
          <w:pPr>
            <w:pStyle w:val="TM1"/>
            <w:rPr>
              <w:iCs w:val="0"/>
              <w:noProof/>
              <w:kern w:val="2"/>
              <w:sz w:val="24"/>
              <w:szCs w:val="24"/>
              <w:lang w:val="fr-BE" w:eastAsia="fr-BE"/>
              <w14:ligatures w14:val="standardContextual"/>
            </w:rPr>
          </w:pPr>
          <w:hyperlink w:anchor="_Toc185439116" w:history="1">
            <w:r w:rsidRPr="00BC2EDD">
              <w:rPr>
                <w:rStyle w:val="Lienhypertexte"/>
                <w:rFonts w:ascii="Helvetica" w:hAnsi="Helvetica"/>
                <w:b/>
                <w:bCs/>
                <w:noProof/>
                <w:lang w:val="en-GB"/>
              </w:rPr>
              <w:t>Clearly prohibiting all forms of institutionalisation</w:t>
            </w:r>
            <w:r>
              <w:rPr>
                <w:noProof/>
                <w:webHidden/>
              </w:rPr>
              <w:tab/>
            </w:r>
            <w:r>
              <w:rPr>
                <w:noProof/>
                <w:webHidden/>
              </w:rPr>
              <w:fldChar w:fldCharType="begin"/>
            </w:r>
            <w:r>
              <w:rPr>
                <w:noProof/>
                <w:webHidden/>
              </w:rPr>
              <w:instrText xml:space="preserve"> PAGEREF _Toc185439116 \h </w:instrText>
            </w:r>
            <w:r>
              <w:rPr>
                <w:noProof/>
                <w:webHidden/>
              </w:rPr>
            </w:r>
            <w:r>
              <w:rPr>
                <w:noProof/>
                <w:webHidden/>
              </w:rPr>
              <w:fldChar w:fldCharType="separate"/>
            </w:r>
            <w:r w:rsidR="00686082">
              <w:rPr>
                <w:noProof/>
                <w:webHidden/>
              </w:rPr>
              <w:t>5</w:t>
            </w:r>
            <w:r>
              <w:rPr>
                <w:noProof/>
                <w:webHidden/>
              </w:rPr>
              <w:fldChar w:fldCharType="end"/>
            </w:r>
          </w:hyperlink>
        </w:p>
        <w:p w14:paraId="4375B712" w14:textId="1409CD99" w:rsidR="000C263B" w:rsidRDefault="000C263B">
          <w:pPr>
            <w:pStyle w:val="TM1"/>
            <w:rPr>
              <w:iCs w:val="0"/>
              <w:noProof/>
              <w:kern w:val="2"/>
              <w:sz w:val="24"/>
              <w:szCs w:val="24"/>
              <w:lang w:val="fr-BE" w:eastAsia="fr-BE"/>
              <w14:ligatures w14:val="standardContextual"/>
            </w:rPr>
          </w:pPr>
          <w:hyperlink w:anchor="_Toc185439117" w:history="1">
            <w:r w:rsidRPr="00BC2EDD">
              <w:rPr>
                <w:rStyle w:val="Lienhypertexte"/>
                <w:rFonts w:ascii="Helvetica" w:hAnsi="Helvetica"/>
                <w:b/>
                <w:bCs/>
                <w:noProof/>
                <w:lang w:val="en-GB"/>
              </w:rPr>
              <w:t>Providing a clear definition of institution</w:t>
            </w:r>
            <w:r>
              <w:rPr>
                <w:noProof/>
                <w:webHidden/>
              </w:rPr>
              <w:tab/>
            </w:r>
            <w:r>
              <w:rPr>
                <w:noProof/>
                <w:webHidden/>
              </w:rPr>
              <w:fldChar w:fldCharType="begin"/>
            </w:r>
            <w:r>
              <w:rPr>
                <w:noProof/>
                <w:webHidden/>
              </w:rPr>
              <w:instrText xml:space="preserve"> PAGEREF _Toc185439117 \h </w:instrText>
            </w:r>
            <w:r>
              <w:rPr>
                <w:noProof/>
                <w:webHidden/>
              </w:rPr>
            </w:r>
            <w:r>
              <w:rPr>
                <w:noProof/>
                <w:webHidden/>
              </w:rPr>
              <w:fldChar w:fldCharType="separate"/>
            </w:r>
            <w:r w:rsidR="00686082">
              <w:rPr>
                <w:noProof/>
                <w:webHidden/>
              </w:rPr>
              <w:t>7</w:t>
            </w:r>
            <w:r>
              <w:rPr>
                <w:noProof/>
                <w:webHidden/>
              </w:rPr>
              <w:fldChar w:fldCharType="end"/>
            </w:r>
          </w:hyperlink>
        </w:p>
        <w:p w14:paraId="15FCF3AD" w14:textId="2B2A7414" w:rsidR="000C263B" w:rsidRDefault="000C263B">
          <w:pPr>
            <w:pStyle w:val="TM1"/>
            <w:rPr>
              <w:iCs w:val="0"/>
              <w:noProof/>
              <w:kern w:val="2"/>
              <w:sz w:val="24"/>
              <w:szCs w:val="24"/>
              <w:lang w:val="fr-BE" w:eastAsia="fr-BE"/>
              <w14:ligatures w14:val="standardContextual"/>
            </w:rPr>
          </w:pPr>
          <w:hyperlink w:anchor="_Toc185439118" w:history="1">
            <w:r w:rsidRPr="00BC2EDD">
              <w:rPr>
                <w:rStyle w:val="Lienhypertexte"/>
                <w:rFonts w:ascii="Helvetica" w:hAnsi="Helvetica"/>
                <w:b/>
                <w:bCs/>
                <w:noProof/>
                <w:lang w:val="en-GB"/>
              </w:rPr>
              <w:t>Establishing the applicability of the EU Charter on Fundamental Rights</w:t>
            </w:r>
            <w:r>
              <w:rPr>
                <w:noProof/>
                <w:webHidden/>
              </w:rPr>
              <w:tab/>
            </w:r>
            <w:r>
              <w:rPr>
                <w:noProof/>
                <w:webHidden/>
              </w:rPr>
              <w:fldChar w:fldCharType="begin"/>
            </w:r>
            <w:r>
              <w:rPr>
                <w:noProof/>
                <w:webHidden/>
              </w:rPr>
              <w:instrText xml:space="preserve"> PAGEREF _Toc185439118 \h </w:instrText>
            </w:r>
            <w:r>
              <w:rPr>
                <w:noProof/>
                <w:webHidden/>
              </w:rPr>
            </w:r>
            <w:r>
              <w:rPr>
                <w:noProof/>
                <w:webHidden/>
              </w:rPr>
              <w:fldChar w:fldCharType="separate"/>
            </w:r>
            <w:r w:rsidR="00686082">
              <w:rPr>
                <w:noProof/>
                <w:webHidden/>
              </w:rPr>
              <w:t>8</w:t>
            </w:r>
            <w:r>
              <w:rPr>
                <w:noProof/>
                <w:webHidden/>
              </w:rPr>
              <w:fldChar w:fldCharType="end"/>
            </w:r>
          </w:hyperlink>
        </w:p>
        <w:p w14:paraId="241CE7ED" w14:textId="10277BD3" w:rsidR="000C263B" w:rsidRDefault="000C263B">
          <w:pPr>
            <w:pStyle w:val="TM1"/>
            <w:rPr>
              <w:iCs w:val="0"/>
              <w:noProof/>
              <w:kern w:val="2"/>
              <w:sz w:val="24"/>
              <w:szCs w:val="24"/>
              <w:lang w:val="fr-BE" w:eastAsia="fr-BE"/>
              <w14:ligatures w14:val="standardContextual"/>
            </w:rPr>
          </w:pPr>
          <w:hyperlink w:anchor="_Toc185439119" w:history="1">
            <w:r w:rsidRPr="00BC2EDD">
              <w:rPr>
                <w:rStyle w:val="Lienhypertexte"/>
                <w:rFonts w:ascii="Helvetica" w:hAnsi="Helvetica"/>
                <w:b/>
                <w:bCs/>
                <w:noProof/>
                <w:lang w:val="en-GB"/>
              </w:rPr>
              <w:t>Encouraging investments that promote independent living</w:t>
            </w:r>
            <w:r>
              <w:rPr>
                <w:noProof/>
                <w:webHidden/>
              </w:rPr>
              <w:tab/>
            </w:r>
            <w:r>
              <w:rPr>
                <w:noProof/>
                <w:webHidden/>
              </w:rPr>
              <w:fldChar w:fldCharType="begin"/>
            </w:r>
            <w:r>
              <w:rPr>
                <w:noProof/>
                <w:webHidden/>
              </w:rPr>
              <w:instrText xml:space="preserve"> PAGEREF _Toc185439119 \h </w:instrText>
            </w:r>
            <w:r>
              <w:rPr>
                <w:noProof/>
                <w:webHidden/>
              </w:rPr>
            </w:r>
            <w:r>
              <w:rPr>
                <w:noProof/>
                <w:webHidden/>
              </w:rPr>
              <w:fldChar w:fldCharType="separate"/>
            </w:r>
            <w:r w:rsidR="00686082">
              <w:rPr>
                <w:noProof/>
                <w:webHidden/>
              </w:rPr>
              <w:t>8</w:t>
            </w:r>
            <w:r>
              <w:rPr>
                <w:noProof/>
                <w:webHidden/>
              </w:rPr>
              <w:fldChar w:fldCharType="end"/>
            </w:r>
          </w:hyperlink>
        </w:p>
        <w:p w14:paraId="03FA2BCB" w14:textId="267F93AC" w:rsidR="000C263B" w:rsidRDefault="000C263B">
          <w:pPr>
            <w:pStyle w:val="TM1"/>
            <w:rPr>
              <w:iCs w:val="0"/>
              <w:noProof/>
              <w:kern w:val="2"/>
              <w:sz w:val="24"/>
              <w:szCs w:val="24"/>
              <w:lang w:val="fr-BE" w:eastAsia="fr-BE"/>
              <w14:ligatures w14:val="standardContextual"/>
            </w:rPr>
          </w:pPr>
          <w:hyperlink w:anchor="_Toc185439120" w:history="1">
            <w:r w:rsidRPr="00BC2EDD">
              <w:rPr>
                <w:rStyle w:val="Lienhypertexte"/>
                <w:rFonts w:ascii="Helvetica" w:hAnsi="Helvetica"/>
                <w:b/>
                <w:bCs/>
                <w:noProof/>
                <w:lang w:val="en-GB"/>
              </w:rPr>
              <w:t>Recognising the past and providing reparations</w:t>
            </w:r>
            <w:r>
              <w:rPr>
                <w:noProof/>
                <w:webHidden/>
              </w:rPr>
              <w:tab/>
            </w:r>
            <w:r>
              <w:rPr>
                <w:noProof/>
                <w:webHidden/>
              </w:rPr>
              <w:fldChar w:fldCharType="begin"/>
            </w:r>
            <w:r>
              <w:rPr>
                <w:noProof/>
                <w:webHidden/>
              </w:rPr>
              <w:instrText xml:space="preserve"> PAGEREF _Toc185439120 \h </w:instrText>
            </w:r>
            <w:r>
              <w:rPr>
                <w:noProof/>
                <w:webHidden/>
              </w:rPr>
            </w:r>
            <w:r>
              <w:rPr>
                <w:noProof/>
                <w:webHidden/>
              </w:rPr>
              <w:fldChar w:fldCharType="separate"/>
            </w:r>
            <w:r w:rsidR="00686082">
              <w:rPr>
                <w:noProof/>
                <w:webHidden/>
              </w:rPr>
              <w:t>10</w:t>
            </w:r>
            <w:r>
              <w:rPr>
                <w:noProof/>
                <w:webHidden/>
              </w:rPr>
              <w:fldChar w:fldCharType="end"/>
            </w:r>
          </w:hyperlink>
        </w:p>
        <w:p w14:paraId="2F6EC32B" w14:textId="494DFB70" w:rsidR="000C263B" w:rsidRDefault="000C263B">
          <w:pPr>
            <w:pStyle w:val="TM1"/>
            <w:rPr>
              <w:iCs w:val="0"/>
              <w:noProof/>
              <w:kern w:val="2"/>
              <w:sz w:val="24"/>
              <w:szCs w:val="24"/>
              <w:lang w:val="fr-BE" w:eastAsia="fr-BE"/>
              <w14:ligatures w14:val="standardContextual"/>
            </w:rPr>
          </w:pPr>
          <w:hyperlink w:anchor="_Toc185439121" w:history="1">
            <w:r w:rsidRPr="00BC2EDD">
              <w:rPr>
                <w:rStyle w:val="Lienhypertexte"/>
                <w:rFonts w:ascii="Helvetica" w:hAnsi="Helvetica"/>
                <w:b/>
                <w:bCs/>
                <w:noProof/>
                <w:lang w:val="en-GB"/>
              </w:rPr>
              <w:t>Conclusion</w:t>
            </w:r>
            <w:r>
              <w:rPr>
                <w:noProof/>
                <w:webHidden/>
              </w:rPr>
              <w:tab/>
            </w:r>
            <w:r>
              <w:rPr>
                <w:noProof/>
                <w:webHidden/>
              </w:rPr>
              <w:fldChar w:fldCharType="begin"/>
            </w:r>
            <w:r>
              <w:rPr>
                <w:noProof/>
                <w:webHidden/>
              </w:rPr>
              <w:instrText xml:space="preserve"> PAGEREF _Toc185439121 \h </w:instrText>
            </w:r>
            <w:r>
              <w:rPr>
                <w:noProof/>
                <w:webHidden/>
              </w:rPr>
            </w:r>
            <w:r>
              <w:rPr>
                <w:noProof/>
                <w:webHidden/>
              </w:rPr>
              <w:fldChar w:fldCharType="separate"/>
            </w:r>
            <w:r w:rsidR="00686082">
              <w:rPr>
                <w:noProof/>
                <w:webHidden/>
              </w:rPr>
              <w:t>11</w:t>
            </w:r>
            <w:r>
              <w:rPr>
                <w:noProof/>
                <w:webHidden/>
              </w:rPr>
              <w:fldChar w:fldCharType="end"/>
            </w:r>
          </w:hyperlink>
        </w:p>
        <w:p w14:paraId="09541B41" w14:textId="474219D8" w:rsidR="00902E27" w:rsidRDefault="00902E27">
          <w:r>
            <w:rPr>
              <w:b/>
              <w:bCs/>
              <w:lang w:val="fr-FR"/>
            </w:rPr>
            <w:fldChar w:fldCharType="end"/>
          </w:r>
        </w:p>
      </w:sdtContent>
    </w:sdt>
    <w:p w14:paraId="6AC2E334" w14:textId="77777777" w:rsidR="00902E27" w:rsidRDefault="00902E27" w:rsidP="0015348B">
      <w:pPr>
        <w:rPr>
          <w:rFonts w:ascii="Helvetica" w:hAnsi="Helvetica"/>
          <w:lang w:val="en-GB"/>
        </w:rPr>
      </w:pPr>
    </w:p>
    <w:p w14:paraId="58A648A5" w14:textId="77777777" w:rsidR="00686082" w:rsidRDefault="00686082" w:rsidP="0015348B">
      <w:pPr>
        <w:rPr>
          <w:rFonts w:ascii="Helvetica" w:hAnsi="Helvetica"/>
          <w:lang w:val="en-GB"/>
        </w:rPr>
      </w:pPr>
    </w:p>
    <w:p w14:paraId="2461D66A" w14:textId="77777777" w:rsidR="00686082" w:rsidRDefault="00686082" w:rsidP="0015348B">
      <w:pPr>
        <w:rPr>
          <w:rFonts w:ascii="Helvetica" w:hAnsi="Helvetica"/>
          <w:lang w:val="en-GB"/>
        </w:rPr>
      </w:pPr>
    </w:p>
    <w:p w14:paraId="6737887A" w14:textId="77777777" w:rsidR="00686082" w:rsidRDefault="00686082" w:rsidP="0015348B">
      <w:pPr>
        <w:rPr>
          <w:rFonts w:ascii="Helvetica" w:hAnsi="Helvetica"/>
          <w:lang w:val="en-GB"/>
        </w:rPr>
      </w:pPr>
    </w:p>
    <w:p w14:paraId="2A5992EC" w14:textId="77777777" w:rsidR="00686082" w:rsidRDefault="00686082" w:rsidP="0015348B">
      <w:pPr>
        <w:rPr>
          <w:rFonts w:ascii="Helvetica" w:hAnsi="Helvetica"/>
          <w:lang w:val="en-GB"/>
        </w:rPr>
      </w:pPr>
    </w:p>
    <w:p w14:paraId="04429A4B" w14:textId="77777777" w:rsidR="00686082" w:rsidRDefault="00686082" w:rsidP="0015348B">
      <w:pPr>
        <w:rPr>
          <w:rFonts w:ascii="Helvetica" w:hAnsi="Helvetica"/>
          <w:lang w:val="en-GB"/>
        </w:rPr>
      </w:pPr>
    </w:p>
    <w:p w14:paraId="47BAFEA0" w14:textId="77777777" w:rsidR="00686082" w:rsidRDefault="00686082" w:rsidP="0015348B">
      <w:pPr>
        <w:rPr>
          <w:rFonts w:ascii="Helvetica" w:hAnsi="Helvetica"/>
          <w:lang w:val="en-GB"/>
        </w:rPr>
      </w:pPr>
    </w:p>
    <w:p w14:paraId="6C138891" w14:textId="77777777" w:rsidR="00686082" w:rsidRDefault="00686082" w:rsidP="0015348B">
      <w:pPr>
        <w:rPr>
          <w:rFonts w:ascii="Helvetica" w:hAnsi="Helvetica"/>
          <w:lang w:val="en-GB"/>
        </w:rPr>
      </w:pPr>
    </w:p>
    <w:p w14:paraId="2B167F30" w14:textId="77777777" w:rsidR="00686082" w:rsidRDefault="00686082" w:rsidP="0015348B">
      <w:pPr>
        <w:rPr>
          <w:rFonts w:ascii="Helvetica" w:hAnsi="Helvetica"/>
          <w:lang w:val="en-GB"/>
        </w:rPr>
      </w:pPr>
    </w:p>
    <w:p w14:paraId="3E804D70" w14:textId="77777777" w:rsidR="00686082" w:rsidRDefault="00686082" w:rsidP="0015348B">
      <w:pPr>
        <w:rPr>
          <w:rFonts w:ascii="Helvetica" w:hAnsi="Helvetica"/>
          <w:lang w:val="en-GB"/>
        </w:rPr>
      </w:pPr>
    </w:p>
    <w:p w14:paraId="4AA8C08E" w14:textId="77777777" w:rsidR="00686082" w:rsidRDefault="00686082" w:rsidP="0015348B">
      <w:pPr>
        <w:rPr>
          <w:rFonts w:ascii="Helvetica" w:hAnsi="Helvetica"/>
          <w:lang w:val="en-GB"/>
        </w:rPr>
      </w:pPr>
    </w:p>
    <w:p w14:paraId="27A43930" w14:textId="77777777" w:rsidR="00686082" w:rsidRDefault="00686082" w:rsidP="0015348B">
      <w:pPr>
        <w:rPr>
          <w:rFonts w:ascii="Helvetica" w:hAnsi="Helvetica"/>
          <w:lang w:val="en-GB"/>
        </w:rPr>
      </w:pPr>
    </w:p>
    <w:p w14:paraId="126D876B" w14:textId="77777777" w:rsidR="00686082" w:rsidRDefault="00686082" w:rsidP="0015348B">
      <w:pPr>
        <w:rPr>
          <w:rFonts w:ascii="Helvetica" w:hAnsi="Helvetica"/>
          <w:lang w:val="en-GB"/>
        </w:rPr>
      </w:pPr>
    </w:p>
    <w:p w14:paraId="0C5887DD" w14:textId="77777777" w:rsidR="00686082" w:rsidRPr="00C53612" w:rsidRDefault="00686082" w:rsidP="0015348B">
      <w:pPr>
        <w:rPr>
          <w:rFonts w:ascii="Helvetica" w:hAnsi="Helvetica"/>
          <w:lang w:val="en-GB"/>
        </w:rPr>
      </w:pPr>
    </w:p>
    <w:p w14:paraId="6DB915AA" w14:textId="2A5A59B4" w:rsidR="0015348B" w:rsidRPr="00C53612" w:rsidRDefault="000C0703" w:rsidP="0015348B">
      <w:pPr>
        <w:pStyle w:val="Titre1"/>
        <w:rPr>
          <w:rFonts w:ascii="Helvetica" w:hAnsi="Helvetica"/>
          <w:sz w:val="32"/>
          <w:szCs w:val="32"/>
          <w:lang w:val="en-GB"/>
        </w:rPr>
      </w:pPr>
      <w:bookmarkStart w:id="2" w:name="_Toc185439114"/>
      <w:r>
        <w:rPr>
          <w:rFonts w:ascii="Helvetica" w:hAnsi="Helvetica"/>
          <w:b/>
          <w:bCs/>
          <w:sz w:val="32"/>
          <w:szCs w:val="32"/>
          <w:lang w:val="en-GB"/>
        </w:rPr>
        <w:lastRenderedPageBreak/>
        <w:t>Introduction</w:t>
      </w:r>
      <w:bookmarkEnd w:id="2"/>
    </w:p>
    <w:p w14:paraId="740C45B4" w14:textId="77777777" w:rsidR="00C96AA9" w:rsidRPr="00E92712" w:rsidRDefault="00C96AA9" w:rsidP="00C96AA9">
      <w:pPr>
        <w:spacing w:line="360" w:lineRule="auto"/>
        <w:rPr>
          <w:rFonts w:ascii="Arial" w:hAnsi="Arial" w:cs="Arial"/>
          <w:sz w:val="24"/>
          <w:szCs w:val="24"/>
          <w:lang w:val="en-US"/>
        </w:rPr>
      </w:pPr>
      <w:r w:rsidRPr="00E92712">
        <w:rPr>
          <w:rFonts w:ascii="Arial" w:hAnsi="Arial" w:cs="Arial"/>
          <w:sz w:val="24"/>
          <w:szCs w:val="24"/>
          <w:lang w:val="en-US"/>
        </w:rPr>
        <w:t xml:space="preserve">European Union (EU) structural funds have the potential to support the right to live independently for disabled people, through the promotion of community-based services and support, and the design and implementation of deinstitutionalisation strategies. </w:t>
      </w:r>
      <w:r>
        <w:rPr>
          <w:rFonts w:ascii="Arial" w:hAnsi="Arial" w:cs="Arial"/>
          <w:sz w:val="24"/>
          <w:szCs w:val="24"/>
          <w:lang w:val="en-US"/>
        </w:rPr>
        <w:t>T</w:t>
      </w:r>
      <w:r w:rsidRPr="00E92712">
        <w:rPr>
          <w:rFonts w:ascii="Arial" w:hAnsi="Arial" w:cs="Arial"/>
          <w:sz w:val="24"/>
          <w:szCs w:val="24"/>
          <w:lang w:val="en-US"/>
        </w:rPr>
        <w:t xml:space="preserve">he </w:t>
      </w:r>
      <w:hyperlink r:id="rId13" w:history="1">
        <w:r w:rsidRPr="00333470">
          <w:rPr>
            <w:rStyle w:val="Lienhypertexte"/>
            <w:rFonts w:ascii="Arial" w:hAnsi="Arial" w:cs="Arial"/>
            <w:sz w:val="24"/>
            <w:szCs w:val="24"/>
            <w:lang w:val="en-US"/>
          </w:rPr>
          <w:t>Common Provisions Regulations 2021-2027</w:t>
        </w:r>
      </w:hyperlink>
      <w:r w:rsidRPr="00E92712">
        <w:rPr>
          <w:rFonts w:ascii="Arial" w:hAnsi="Arial" w:cs="Arial"/>
          <w:sz w:val="24"/>
          <w:szCs w:val="24"/>
          <w:lang w:val="en-US"/>
        </w:rPr>
        <w:t xml:space="preserve"> includes </w:t>
      </w:r>
      <w:r>
        <w:rPr>
          <w:rFonts w:ascii="Arial" w:hAnsi="Arial" w:cs="Arial"/>
          <w:sz w:val="24"/>
          <w:szCs w:val="24"/>
          <w:lang w:val="en-US"/>
        </w:rPr>
        <w:t xml:space="preserve">the </w:t>
      </w:r>
      <w:r w:rsidRPr="00E92712">
        <w:rPr>
          <w:rFonts w:ascii="Arial" w:hAnsi="Arial" w:cs="Arial"/>
          <w:sz w:val="24"/>
          <w:szCs w:val="24"/>
          <w:lang w:val="en-US"/>
        </w:rPr>
        <w:t xml:space="preserve">implementation of the </w:t>
      </w:r>
      <w:hyperlink r:id="rId14" w:history="1">
        <w:r w:rsidRPr="00A85641">
          <w:rPr>
            <w:rStyle w:val="Lienhypertexte"/>
            <w:rFonts w:ascii="Arial" w:hAnsi="Arial" w:cs="Arial"/>
            <w:sz w:val="24"/>
            <w:szCs w:val="24"/>
            <w:lang w:val="en-US"/>
          </w:rPr>
          <w:t>United Nations Convention on the Rights of Persons with Disabilities</w:t>
        </w:r>
      </w:hyperlink>
      <w:r w:rsidRPr="00E92712">
        <w:rPr>
          <w:rFonts w:ascii="Arial" w:hAnsi="Arial" w:cs="Arial"/>
          <w:sz w:val="24"/>
          <w:szCs w:val="24"/>
          <w:lang w:val="en-US"/>
        </w:rPr>
        <w:t xml:space="preserve"> (UNCRPD) as a horizontal enabling condition, and the </w:t>
      </w:r>
      <w:hyperlink r:id="rId15" w:history="1">
        <w:r w:rsidRPr="00723073">
          <w:rPr>
            <w:rStyle w:val="Lienhypertexte"/>
            <w:rFonts w:ascii="Arial" w:hAnsi="Arial" w:cs="Arial"/>
            <w:sz w:val="24"/>
            <w:szCs w:val="24"/>
            <w:lang w:val="en-US"/>
          </w:rPr>
          <w:t xml:space="preserve">Regulation </w:t>
        </w:r>
        <w:r>
          <w:rPr>
            <w:rStyle w:val="Lienhypertexte"/>
            <w:rFonts w:ascii="Arial" w:hAnsi="Arial" w:cs="Arial"/>
            <w:sz w:val="24"/>
            <w:szCs w:val="24"/>
            <w:lang w:val="en-US"/>
          </w:rPr>
          <w:t>establishing</w:t>
        </w:r>
        <w:r w:rsidRPr="00723073">
          <w:rPr>
            <w:rStyle w:val="Lienhypertexte"/>
            <w:rFonts w:ascii="Arial" w:hAnsi="Arial" w:cs="Arial"/>
            <w:sz w:val="24"/>
            <w:szCs w:val="24"/>
            <w:lang w:val="en-US"/>
          </w:rPr>
          <w:t xml:space="preserve"> the European Social Fund Plus</w:t>
        </w:r>
      </w:hyperlink>
      <w:r w:rsidRPr="00E92712">
        <w:rPr>
          <w:rFonts w:ascii="Arial" w:hAnsi="Arial" w:cs="Arial"/>
          <w:sz w:val="24"/>
          <w:szCs w:val="24"/>
          <w:lang w:val="en-US"/>
        </w:rPr>
        <w:t xml:space="preserve"> (ESF+) establishes the promotion of the transition from institutional care to community living as an objective.</w:t>
      </w:r>
    </w:p>
    <w:p w14:paraId="15DB08A6" w14:textId="7758D9A2" w:rsidR="00C96AA9" w:rsidRPr="00E92712" w:rsidRDefault="00C96AA9" w:rsidP="00C96AA9">
      <w:pPr>
        <w:spacing w:line="360" w:lineRule="auto"/>
        <w:rPr>
          <w:rFonts w:ascii="Arial" w:hAnsi="Arial" w:cs="Arial"/>
          <w:sz w:val="24"/>
          <w:szCs w:val="24"/>
          <w:lang w:val="en-US"/>
        </w:rPr>
      </w:pPr>
      <w:r w:rsidRPr="00E92712">
        <w:rPr>
          <w:rFonts w:ascii="Arial" w:hAnsi="Arial" w:cs="Arial"/>
          <w:sz w:val="24"/>
          <w:szCs w:val="24"/>
          <w:lang w:val="en-US"/>
        </w:rPr>
        <w:t>However,</w:t>
      </w:r>
      <w:r>
        <w:rPr>
          <w:rFonts w:ascii="Arial" w:hAnsi="Arial" w:cs="Arial"/>
          <w:sz w:val="24"/>
          <w:szCs w:val="24"/>
          <w:lang w:val="en-US"/>
        </w:rPr>
        <w:t xml:space="preserve"> in the past</w:t>
      </w:r>
      <w:r w:rsidRPr="00E92712">
        <w:rPr>
          <w:rFonts w:ascii="Arial" w:hAnsi="Arial" w:cs="Arial"/>
          <w:sz w:val="24"/>
          <w:szCs w:val="24"/>
          <w:lang w:val="en-US"/>
        </w:rPr>
        <w:t xml:space="preserve"> </w:t>
      </w:r>
      <w:r>
        <w:rPr>
          <w:rFonts w:ascii="Arial" w:hAnsi="Arial" w:cs="Arial"/>
          <w:sz w:val="24"/>
          <w:szCs w:val="24"/>
          <w:lang w:val="en-US"/>
        </w:rPr>
        <w:t>the European Network on Independent Living (ENIL)</w:t>
      </w:r>
      <w:r w:rsidRPr="00E92712">
        <w:rPr>
          <w:rFonts w:ascii="Arial" w:hAnsi="Arial" w:cs="Arial"/>
          <w:sz w:val="24"/>
          <w:szCs w:val="24"/>
          <w:lang w:val="en-US"/>
        </w:rPr>
        <w:t xml:space="preserve"> </w:t>
      </w:r>
      <w:r>
        <w:rPr>
          <w:rFonts w:ascii="Arial" w:hAnsi="Arial" w:cs="Arial"/>
          <w:sz w:val="24"/>
          <w:szCs w:val="24"/>
          <w:lang w:val="en-US"/>
        </w:rPr>
        <w:t xml:space="preserve">has </w:t>
      </w:r>
      <w:r w:rsidRPr="00E92712">
        <w:rPr>
          <w:rFonts w:ascii="Arial" w:hAnsi="Arial" w:cs="Arial"/>
          <w:sz w:val="24"/>
          <w:szCs w:val="24"/>
          <w:lang w:val="en-US"/>
        </w:rPr>
        <w:t>identified</w:t>
      </w:r>
      <w:r>
        <w:rPr>
          <w:rFonts w:ascii="Arial" w:hAnsi="Arial" w:cs="Arial"/>
          <w:sz w:val="24"/>
          <w:szCs w:val="24"/>
          <w:lang w:val="en-US"/>
        </w:rPr>
        <w:t xml:space="preserve"> </w:t>
      </w:r>
      <w:r w:rsidRPr="00E92712">
        <w:rPr>
          <w:rFonts w:ascii="Arial" w:hAnsi="Arial" w:cs="Arial"/>
          <w:sz w:val="24"/>
          <w:szCs w:val="24"/>
          <w:lang w:val="en-US"/>
        </w:rPr>
        <w:t>investments from structural funds into institutions.</w:t>
      </w:r>
      <w:r>
        <w:rPr>
          <w:rStyle w:val="Appelnotedebasdep"/>
          <w:rFonts w:ascii="Arial" w:hAnsi="Arial" w:cs="Arial"/>
          <w:sz w:val="24"/>
          <w:szCs w:val="24"/>
          <w:lang w:val="en-US"/>
        </w:rPr>
        <w:footnoteReference w:id="1"/>
      </w:r>
      <w:r w:rsidRPr="00E92712">
        <w:rPr>
          <w:rFonts w:ascii="Arial" w:hAnsi="Arial" w:cs="Arial"/>
          <w:sz w:val="24"/>
          <w:szCs w:val="24"/>
          <w:lang w:val="en-US"/>
        </w:rPr>
        <w:t xml:space="preserve"> When introducing complaints to the European Commission about these investments, we have witnessed an insufficient response. While shared management funds are designed and implemented by the managing authorities in the Member States, the European Commission has the task of supervising and monitoring these funds. Nevertheless, the previous UN Special Rapporteur on the Rights of Persons with Disabilities affirmed in his visit to the European Union in 2022 that “it appears that the relevant authorities in the Directorate-General for Regional and Urban Policy do not believe that segregating persons with disabilities into institutions amounts to discrimination”.</w:t>
      </w:r>
      <w:r>
        <w:rPr>
          <w:rStyle w:val="Appelnotedebasdep"/>
          <w:rFonts w:ascii="Arial" w:hAnsi="Arial" w:cs="Arial"/>
          <w:sz w:val="24"/>
          <w:szCs w:val="24"/>
          <w:lang w:val="en-US"/>
        </w:rPr>
        <w:footnoteReference w:id="2"/>
      </w:r>
    </w:p>
    <w:p w14:paraId="0EE77E55" w14:textId="77777777" w:rsidR="00C96AA9" w:rsidRPr="00E92712" w:rsidRDefault="00C96AA9" w:rsidP="00C96AA9">
      <w:pPr>
        <w:spacing w:line="360" w:lineRule="auto"/>
        <w:rPr>
          <w:rFonts w:ascii="Arial" w:hAnsi="Arial" w:cs="Arial"/>
          <w:sz w:val="24"/>
          <w:szCs w:val="24"/>
          <w:lang w:val="en-US"/>
        </w:rPr>
      </w:pPr>
      <w:r w:rsidRPr="00E92712">
        <w:rPr>
          <w:rFonts w:ascii="Arial" w:hAnsi="Arial" w:cs="Arial"/>
          <w:sz w:val="24"/>
          <w:szCs w:val="24"/>
          <w:lang w:val="en-US"/>
        </w:rPr>
        <w:t>In addition, as the UN Special Rapporteur remarked</w:t>
      </w:r>
      <w:r>
        <w:rPr>
          <w:rFonts w:ascii="Arial" w:hAnsi="Arial" w:cs="Arial"/>
          <w:sz w:val="24"/>
          <w:szCs w:val="24"/>
          <w:lang w:val="en-US"/>
        </w:rPr>
        <w:t xml:space="preserve"> in his visit</w:t>
      </w:r>
      <w:r w:rsidRPr="00E92712">
        <w:rPr>
          <w:rFonts w:ascii="Arial" w:hAnsi="Arial" w:cs="Arial"/>
          <w:sz w:val="24"/>
          <w:szCs w:val="24"/>
          <w:lang w:val="en-US"/>
        </w:rPr>
        <w:t xml:space="preserve">, internal legal services of the European Commission have </w:t>
      </w:r>
      <w:r>
        <w:rPr>
          <w:rFonts w:ascii="Arial" w:hAnsi="Arial" w:cs="Arial"/>
          <w:sz w:val="24"/>
          <w:szCs w:val="24"/>
          <w:lang w:val="en-US"/>
        </w:rPr>
        <w:t xml:space="preserve">adopted </w:t>
      </w:r>
      <w:r w:rsidRPr="00E92712">
        <w:rPr>
          <w:rFonts w:ascii="Arial" w:hAnsi="Arial" w:cs="Arial"/>
          <w:sz w:val="24"/>
          <w:szCs w:val="24"/>
          <w:lang w:val="en-US"/>
        </w:rPr>
        <w:t xml:space="preserve">the view that institutions can be financed in certain cases, considering that the UNCRPD does not prohibit such investments. However, the interpretation of the UNCRPD Committee clearly opposes this view. </w:t>
      </w:r>
    </w:p>
    <w:p w14:paraId="61E634EE" w14:textId="77777777" w:rsidR="00C96AA9" w:rsidRDefault="00C96AA9" w:rsidP="00C96AA9">
      <w:pPr>
        <w:spacing w:line="360" w:lineRule="auto"/>
        <w:rPr>
          <w:rFonts w:ascii="Arial" w:hAnsi="Arial" w:cs="Arial"/>
          <w:sz w:val="24"/>
          <w:szCs w:val="24"/>
          <w:lang w:val="en-US"/>
        </w:rPr>
      </w:pPr>
      <w:r w:rsidRPr="00E92712">
        <w:rPr>
          <w:rFonts w:ascii="Arial" w:hAnsi="Arial" w:cs="Arial"/>
          <w:sz w:val="24"/>
          <w:szCs w:val="24"/>
          <w:lang w:val="en-US"/>
        </w:rPr>
        <w:t xml:space="preserve">Therefore, this document will propose </w:t>
      </w:r>
      <w:r>
        <w:rPr>
          <w:rFonts w:ascii="Arial" w:hAnsi="Arial" w:cs="Arial"/>
          <w:sz w:val="24"/>
          <w:szCs w:val="24"/>
          <w:lang w:val="en-US"/>
        </w:rPr>
        <w:t xml:space="preserve">the essential elements for a revision of the European Commission’s </w:t>
      </w:r>
      <w:r w:rsidRPr="00E92712">
        <w:rPr>
          <w:rFonts w:ascii="Arial" w:hAnsi="Arial" w:cs="Arial"/>
          <w:sz w:val="24"/>
          <w:szCs w:val="24"/>
          <w:lang w:val="en-US"/>
        </w:rPr>
        <w:t xml:space="preserve">internal legal guidance that is in line with the UNRCPD and its General Comments and Guidelines. </w:t>
      </w:r>
    </w:p>
    <w:p w14:paraId="2FF94009" w14:textId="11023993" w:rsidR="0015348B" w:rsidRPr="00C53612" w:rsidRDefault="001F76C5" w:rsidP="0015348B">
      <w:pPr>
        <w:pStyle w:val="Titre1"/>
        <w:rPr>
          <w:rFonts w:ascii="Helvetica" w:hAnsi="Helvetica"/>
          <w:b/>
          <w:bCs/>
          <w:sz w:val="32"/>
          <w:szCs w:val="32"/>
          <w:lang w:val="en-GB"/>
        </w:rPr>
      </w:pPr>
      <w:bookmarkStart w:id="3" w:name="_Toc185439115"/>
      <w:r>
        <w:rPr>
          <w:rFonts w:ascii="Helvetica" w:hAnsi="Helvetica"/>
          <w:b/>
          <w:bCs/>
          <w:sz w:val="32"/>
          <w:szCs w:val="32"/>
          <w:lang w:val="en-GB"/>
        </w:rPr>
        <w:lastRenderedPageBreak/>
        <w:t>Integrating the UNCRPD Committee’s interpretation</w:t>
      </w:r>
      <w:bookmarkEnd w:id="3"/>
    </w:p>
    <w:p w14:paraId="1D4B2C1D" w14:textId="77777777" w:rsidR="00874679" w:rsidRDefault="00874679" w:rsidP="00874679">
      <w:pPr>
        <w:spacing w:line="360" w:lineRule="auto"/>
        <w:rPr>
          <w:rFonts w:ascii="Arial" w:hAnsi="Arial" w:cs="Arial"/>
          <w:sz w:val="24"/>
          <w:szCs w:val="24"/>
          <w:lang w:val="en-US"/>
        </w:rPr>
      </w:pPr>
      <w:r>
        <w:rPr>
          <w:rFonts w:ascii="Arial" w:hAnsi="Arial" w:cs="Arial"/>
          <w:sz w:val="24"/>
          <w:szCs w:val="24"/>
          <w:lang w:val="en-US"/>
        </w:rPr>
        <w:t>The UNCRPD Committee is the authority when it comes to the interpretation of the UNCRPD. Therefore, the Committee’s General Comments and Guidelines must be included in the text, with explicit references, and ensuring that all of the recommendations are in line with the Committee’s.</w:t>
      </w:r>
    </w:p>
    <w:p w14:paraId="67E818A5" w14:textId="77777777" w:rsidR="00874679" w:rsidRDefault="00874679" w:rsidP="00874679">
      <w:pPr>
        <w:spacing w:line="360" w:lineRule="auto"/>
        <w:rPr>
          <w:rFonts w:ascii="Arial" w:hAnsi="Arial" w:cs="Arial"/>
          <w:sz w:val="24"/>
          <w:szCs w:val="24"/>
          <w:lang w:val="en-US"/>
        </w:rPr>
      </w:pPr>
      <w:hyperlink r:id="rId16" w:history="1">
        <w:r w:rsidRPr="00F43C65">
          <w:rPr>
            <w:rStyle w:val="Lienhypertexte"/>
            <w:rFonts w:ascii="Arial" w:hAnsi="Arial" w:cs="Arial"/>
            <w:sz w:val="24"/>
            <w:szCs w:val="24"/>
            <w:lang w:val="en-US"/>
          </w:rPr>
          <w:t>General comment No. 5</w:t>
        </w:r>
      </w:hyperlink>
      <w:r w:rsidRPr="000667D3">
        <w:rPr>
          <w:rFonts w:ascii="Arial" w:hAnsi="Arial" w:cs="Arial"/>
          <w:sz w:val="24"/>
          <w:szCs w:val="24"/>
          <w:lang w:val="en-US"/>
        </w:rPr>
        <w:t xml:space="preserve"> (2017) on living independently and being included in the community</w:t>
      </w:r>
      <w:r>
        <w:rPr>
          <w:rFonts w:ascii="Arial" w:hAnsi="Arial" w:cs="Arial"/>
          <w:sz w:val="24"/>
          <w:szCs w:val="24"/>
          <w:lang w:val="en-US"/>
        </w:rPr>
        <w:t xml:space="preserve"> assists State Parties to implement article 19 of the UNCRPD and fulfill their obligations under the Convention. The Committee’s interpretation in this General Comment should guide internal legal guidance of the European Commission. Notably, the notions of choice and control, as “t</w:t>
      </w:r>
      <w:r w:rsidRPr="00C421C3">
        <w:rPr>
          <w:rFonts w:ascii="Arial" w:hAnsi="Arial" w:cs="Arial"/>
          <w:sz w:val="24"/>
          <w:szCs w:val="24"/>
          <w:lang w:val="en-US"/>
        </w:rPr>
        <w:t>o choose and decide how, where and with whom to live is the central idea of the right to live independently and be included in the community</w:t>
      </w:r>
      <w:r>
        <w:rPr>
          <w:rFonts w:ascii="Arial" w:hAnsi="Arial" w:cs="Arial"/>
          <w:sz w:val="24"/>
          <w:szCs w:val="24"/>
          <w:lang w:val="en-US"/>
        </w:rPr>
        <w:t>”</w:t>
      </w:r>
      <w:r>
        <w:rPr>
          <w:rStyle w:val="Appelnotedebasdep"/>
          <w:rFonts w:ascii="Arial" w:hAnsi="Arial" w:cs="Arial"/>
          <w:sz w:val="24"/>
          <w:szCs w:val="24"/>
          <w:lang w:val="en-US"/>
        </w:rPr>
        <w:footnoteReference w:id="3"/>
      </w:r>
      <w:r>
        <w:rPr>
          <w:rFonts w:ascii="Arial" w:hAnsi="Arial" w:cs="Arial"/>
          <w:sz w:val="24"/>
          <w:szCs w:val="24"/>
          <w:lang w:val="en-US"/>
        </w:rPr>
        <w:t>, and the core elements defined in the General Comment. The General Comment also notes the obligation to not build new institutions, renovate them, extend them, allow new residents to enter, or establish living arrangements akin to institutions.</w:t>
      </w:r>
    </w:p>
    <w:p w14:paraId="4E06500D" w14:textId="77777777" w:rsidR="00874679" w:rsidRPr="009575D1" w:rsidRDefault="00874679" w:rsidP="00874679">
      <w:pPr>
        <w:spacing w:line="360" w:lineRule="auto"/>
        <w:rPr>
          <w:rFonts w:ascii="Arial" w:hAnsi="Arial" w:cs="Arial"/>
          <w:sz w:val="24"/>
          <w:szCs w:val="24"/>
          <w:lang w:val="en-US"/>
        </w:rPr>
      </w:pPr>
      <w:r>
        <w:rPr>
          <w:rFonts w:ascii="Arial" w:hAnsi="Arial" w:cs="Arial"/>
          <w:sz w:val="24"/>
          <w:szCs w:val="24"/>
          <w:lang w:val="en-US"/>
        </w:rPr>
        <w:t xml:space="preserve">Other relevant General Comments that are to be considered are </w:t>
      </w:r>
      <w:hyperlink r:id="rId17" w:history="1">
        <w:r w:rsidRPr="00E357AB">
          <w:rPr>
            <w:rStyle w:val="Lienhypertexte"/>
            <w:rFonts w:ascii="Arial" w:hAnsi="Arial" w:cs="Arial"/>
            <w:sz w:val="24"/>
            <w:szCs w:val="24"/>
            <w:lang w:val="en-US"/>
          </w:rPr>
          <w:t>General Comment No. 4</w:t>
        </w:r>
      </w:hyperlink>
      <w:r>
        <w:rPr>
          <w:rFonts w:ascii="Arial" w:hAnsi="Arial" w:cs="Arial"/>
          <w:sz w:val="24"/>
          <w:szCs w:val="24"/>
          <w:lang w:val="en-US"/>
        </w:rPr>
        <w:t xml:space="preserve"> on </w:t>
      </w:r>
      <w:r w:rsidRPr="00355332">
        <w:rPr>
          <w:rFonts w:ascii="Arial" w:hAnsi="Arial" w:cs="Arial"/>
          <w:sz w:val="24"/>
          <w:szCs w:val="24"/>
          <w:lang w:val="en-US"/>
        </w:rPr>
        <w:t>Article 24: Right to inclusive education</w:t>
      </w:r>
      <w:r>
        <w:rPr>
          <w:rFonts w:ascii="Arial" w:hAnsi="Arial" w:cs="Arial"/>
          <w:sz w:val="24"/>
          <w:szCs w:val="24"/>
          <w:lang w:val="en-US"/>
        </w:rPr>
        <w:t xml:space="preserve">; </w:t>
      </w:r>
      <w:hyperlink r:id="rId18" w:history="1">
        <w:r w:rsidRPr="00C54B3D">
          <w:rPr>
            <w:rStyle w:val="Lienhypertexte"/>
            <w:rFonts w:ascii="Arial" w:hAnsi="Arial" w:cs="Arial"/>
            <w:sz w:val="24"/>
            <w:szCs w:val="24"/>
            <w:lang w:val="en-US"/>
          </w:rPr>
          <w:t>General Comment No. 6</w:t>
        </w:r>
      </w:hyperlink>
      <w:r>
        <w:rPr>
          <w:rFonts w:ascii="Arial" w:hAnsi="Arial" w:cs="Arial"/>
          <w:sz w:val="24"/>
          <w:szCs w:val="24"/>
          <w:lang w:val="en-US"/>
        </w:rPr>
        <w:t xml:space="preserve"> on </w:t>
      </w:r>
      <w:r w:rsidRPr="00B57037">
        <w:rPr>
          <w:rFonts w:ascii="Arial" w:hAnsi="Arial" w:cs="Arial"/>
          <w:sz w:val="24"/>
          <w:szCs w:val="24"/>
          <w:lang w:val="en-US"/>
        </w:rPr>
        <w:t>Article 5: Equality and non-discrimination</w:t>
      </w:r>
      <w:r>
        <w:rPr>
          <w:rFonts w:ascii="Arial" w:hAnsi="Arial" w:cs="Arial"/>
          <w:sz w:val="24"/>
          <w:szCs w:val="24"/>
          <w:lang w:val="en-US"/>
        </w:rPr>
        <w:t xml:space="preserve">; and </w:t>
      </w:r>
      <w:hyperlink r:id="rId19" w:history="1">
        <w:r w:rsidRPr="00C54B3D">
          <w:rPr>
            <w:rStyle w:val="Lienhypertexte"/>
            <w:rFonts w:ascii="Arial" w:hAnsi="Arial" w:cs="Arial"/>
            <w:sz w:val="24"/>
            <w:szCs w:val="24"/>
            <w:lang w:val="en-US"/>
          </w:rPr>
          <w:t>General Comment No. 8</w:t>
        </w:r>
      </w:hyperlink>
      <w:r>
        <w:rPr>
          <w:rFonts w:ascii="Arial" w:hAnsi="Arial" w:cs="Arial"/>
          <w:sz w:val="24"/>
          <w:szCs w:val="24"/>
          <w:lang w:val="en-US"/>
        </w:rPr>
        <w:t xml:space="preserve"> on </w:t>
      </w:r>
      <w:r w:rsidRPr="00B57037">
        <w:rPr>
          <w:rFonts w:ascii="Arial" w:hAnsi="Arial" w:cs="Arial"/>
          <w:sz w:val="24"/>
          <w:szCs w:val="24"/>
          <w:lang w:val="en-US"/>
        </w:rPr>
        <w:t>Article 27: Work and Employment</w:t>
      </w:r>
      <w:r>
        <w:rPr>
          <w:rFonts w:ascii="Arial" w:hAnsi="Arial" w:cs="Arial"/>
          <w:sz w:val="24"/>
          <w:szCs w:val="24"/>
          <w:lang w:val="en-US"/>
        </w:rPr>
        <w:t>. It is important that relevant staff at the European Commission is familiar with the UNCRPD Committee’s work, beyond the staff working on disability.</w:t>
      </w:r>
    </w:p>
    <w:p w14:paraId="6339E1F4" w14:textId="77777777" w:rsidR="00874679" w:rsidRPr="00B154D5" w:rsidRDefault="00874679" w:rsidP="00874679">
      <w:pPr>
        <w:spacing w:line="360" w:lineRule="auto"/>
        <w:rPr>
          <w:rFonts w:ascii="Arial" w:hAnsi="Arial" w:cs="Arial"/>
          <w:sz w:val="24"/>
          <w:szCs w:val="24"/>
          <w:lang w:val="en-US"/>
        </w:rPr>
      </w:pPr>
      <w:r>
        <w:rPr>
          <w:rFonts w:ascii="Arial" w:hAnsi="Arial" w:cs="Arial"/>
          <w:sz w:val="24"/>
          <w:szCs w:val="24"/>
          <w:lang w:val="en-US"/>
        </w:rPr>
        <w:t>Additionally, the Committee adopted in 2022 their</w:t>
      </w:r>
      <w:r w:rsidRPr="00B154D5">
        <w:rPr>
          <w:rFonts w:ascii="Arial" w:hAnsi="Arial" w:cs="Arial"/>
          <w:sz w:val="24"/>
          <w:szCs w:val="24"/>
          <w:lang w:val="en-US"/>
        </w:rPr>
        <w:t xml:space="preserve"> </w:t>
      </w:r>
      <w:hyperlink r:id="rId20" w:history="1">
        <w:r w:rsidRPr="006C64BF">
          <w:rPr>
            <w:rStyle w:val="Lienhypertexte"/>
            <w:rFonts w:ascii="Arial" w:hAnsi="Arial" w:cs="Arial"/>
            <w:sz w:val="24"/>
            <w:szCs w:val="24"/>
            <w:lang w:val="en-US"/>
          </w:rPr>
          <w:t>Guidelines on deinstitutionalisation, including in emergencies</w:t>
        </w:r>
      </w:hyperlink>
      <w:r>
        <w:rPr>
          <w:rFonts w:ascii="Arial" w:hAnsi="Arial" w:cs="Arial"/>
          <w:sz w:val="24"/>
          <w:szCs w:val="24"/>
          <w:lang w:val="en-US"/>
        </w:rPr>
        <w:t xml:space="preserve"> (hereafter “the Guidelines”).  These Guidelines provide further details on developing, implementing and monitoring the deinstitutionalisation process, and they should be the cornerstone of the implementation of EU funds in this regard. In the same line as General Comment No. 5, the Guidelines explicitly mention the prohibition to invest in institutions, and to reallocate the funding towards </w:t>
      </w:r>
      <w:r w:rsidRPr="00266DE5">
        <w:rPr>
          <w:rFonts w:ascii="Arial" w:hAnsi="Arial" w:cs="Arial"/>
          <w:sz w:val="24"/>
          <w:szCs w:val="24"/>
          <w:lang w:val="en-US"/>
        </w:rPr>
        <w:t>supporting disabled people to live independently.</w:t>
      </w:r>
      <w:r>
        <w:rPr>
          <w:rStyle w:val="Appelnotedebasdep"/>
          <w:rFonts w:ascii="Arial" w:hAnsi="Arial" w:cs="Arial"/>
          <w:sz w:val="24"/>
          <w:szCs w:val="24"/>
          <w:lang w:val="en-US"/>
        </w:rPr>
        <w:footnoteReference w:id="4"/>
      </w:r>
      <w:r w:rsidRPr="00266DE5">
        <w:rPr>
          <w:rFonts w:ascii="Arial" w:hAnsi="Arial" w:cs="Arial"/>
          <w:sz w:val="24"/>
          <w:szCs w:val="24"/>
          <w:lang w:val="en-US"/>
        </w:rPr>
        <w:t xml:space="preserve"> </w:t>
      </w:r>
      <w:r>
        <w:rPr>
          <w:rFonts w:ascii="Arial" w:hAnsi="Arial" w:cs="Arial"/>
          <w:sz w:val="24"/>
          <w:szCs w:val="24"/>
          <w:lang w:val="en-US"/>
        </w:rPr>
        <w:lastRenderedPageBreak/>
        <w:t>Internal legal guidance of the European Commission should integrate the Guidelines fully and ensure that all relevant staff is well aware of their content.</w:t>
      </w:r>
    </w:p>
    <w:p w14:paraId="3E9E48AC" w14:textId="77777777" w:rsidR="00874679" w:rsidRPr="00DE5C77" w:rsidRDefault="00874679" w:rsidP="00874679">
      <w:pPr>
        <w:spacing w:line="360" w:lineRule="auto"/>
        <w:rPr>
          <w:rFonts w:ascii="Arial" w:hAnsi="Arial" w:cs="Arial"/>
          <w:sz w:val="24"/>
          <w:szCs w:val="24"/>
          <w:lang w:val="en-US"/>
        </w:rPr>
      </w:pPr>
      <w:r>
        <w:rPr>
          <w:rFonts w:ascii="Arial" w:hAnsi="Arial" w:cs="Arial"/>
          <w:sz w:val="24"/>
          <w:szCs w:val="24"/>
          <w:lang w:val="en-US"/>
        </w:rPr>
        <w:t xml:space="preserve">Furthermore, the EU should consider the individual inquiry concerning </w:t>
      </w:r>
      <w:r w:rsidRPr="009E2D06">
        <w:rPr>
          <w:rFonts w:ascii="Arial" w:hAnsi="Arial" w:cs="Arial"/>
          <w:sz w:val="24"/>
          <w:szCs w:val="24"/>
          <w:lang w:val="en-US"/>
        </w:rPr>
        <w:t>Hungary</w:t>
      </w:r>
      <w:r>
        <w:rPr>
          <w:rFonts w:ascii="Arial" w:hAnsi="Arial" w:cs="Arial"/>
          <w:sz w:val="24"/>
          <w:szCs w:val="24"/>
          <w:lang w:val="en-US"/>
        </w:rPr>
        <w:t xml:space="preserve"> from the UNCRPD Committee, where the Committee affirmed that there was a violation of article 19 regarding “public funds, including funding </w:t>
      </w:r>
      <w:r w:rsidRPr="00106F24">
        <w:rPr>
          <w:rFonts w:ascii="Arial" w:hAnsi="Arial" w:cs="Arial"/>
          <w:sz w:val="24"/>
          <w:szCs w:val="24"/>
          <w:lang w:val="en-US"/>
        </w:rPr>
        <w:t>from the European structural and investment funds, continue to be invested in building, renovating and expanding large- and small-scale institutions, thus removing resources for support for independent living and the development of accessible, community-based services that foster inclusion”</w:t>
      </w:r>
      <w:r w:rsidRPr="00106F24">
        <w:rPr>
          <w:rFonts w:ascii="Arial" w:hAnsi="Arial" w:cs="Arial"/>
          <w:i/>
          <w:iCs w:val="0"/>
          <w:sz w:val="24"/>
          <w:szCs w:val="24"/>
          <w:lang w:val="en-US"/>
        </w:rPr>
        <w:t xml:space="preserve"> </w:t>
      </w:r>
      <w:r w:rsidRPr="00106F24">
        <w:rPr>
          <w:rFonts w:ascii="Arial" w:hAnsi="Arial" w:cs="Arial"/>
          <w:sz w:val="24"/>
          <w:szCs w:val="24"/>
          <w:lang w:val="en-US"/>
        </w:rPr>
        <w:t>(para. 101)</w:t>
      </w:r>
      <w:r>
        <w:rPr>
          <w:rStyle w:val="Appelnotedebasdep"/>
          <w:rFonts w:ascii="Arial" w:hAnsi="Arial" w:cs="Arial"/>
          <w:sz w:val="24"/>
          <w:szCs w:val="24"/>
          <w:lang w:val="en-US"/>
        </w:rPr>
        <w:footnoteReference w:id="5"/>
      </w:r>
      <w:r>
        <w:rPr>
          <w:rFonts w:ascii="Arial" w:hAnsi="Arial" w:cs="Arial"/>
          <w:sz w:val="24"/>
          <w:szCs w:val="24"/>
          <w:lang w:val="en-US"/>
        </w:rPr>
        <w:t>. The Committee recommended the reallocation of these funds towards the development of in-home and community services. Although these recommendations were addressed to the Hungarian authorities, they are relevant for the European Commission and all managing authorities.</w:t>
      </w:r>
    </w:p>
    <w:p w14:paraId="4BD649A2" w14:textId="26BBC2AB" w:rsidR="00C53612" w:rsidRPr="00874679" w:rsidRDefault="00874679" w:rsidP="00874679">
      <w:pPr>
        <w:spacing w:line="360" w:lineRule="auto"/>
        <w:rPr>
          <w:rFonts w:ascii="Arial" w:hAnsi="Arial" w:cs="Arial"/>
          <w:sz w:val="24"/>
          <w:szCs w:val="24"/>
          <w:lang w:val="en-US"/>
        </w:rPr>
      </w:pPr>
      <w:r>
        <w:rPr>
          <w:rFonts w:ascii="Arial" w:hAnsi="Arial" w:cs="Arial"/>
          <w:sz w:val="24"/>
          <w:szCs w:val="24"/>
          <w:lang w:val="en-US"/>
        </w:rPr>
        <w:t>Finally, the EU will be reviewed for the first time in 2025. If the legal services were to update their guidance after the review process, all recommendations from the UNCRPD Committee regarding deinstitutionalisation and independent living in EU funds must be carefully considered and integrated in the document.</w:t>
      </w:r>
    </w:p>
    <w:p w14:paraId="2ABAC922" w14:textId="3307EA40" w:rsidR="0015348B" w:rsidRPr="00C53612" w:rsidRDefault="00874679" w:rsidP="0015348B">
      <w:pPr>
        <w:pStyle w:val="Titre1"/>
        <w:rPr>
          <w:rFonts w:ascii="Helvetica" w:hAnsi="Helvetica"/>
          <w:b/>
          <w:bCs/>
          <w:sz w:val="32"/>
          <w:szCs w:val="32"/>
          <w:lang w:val="en-GB"/>
        </w:rPr>
      </w:pPr>
      <w:bookmarkStart w:id="4" w:name="_Toc185439116"/>
      <w:r>
        <w:rPr>
          <w:rFonts w:ascii="Helvetica" w:hAnsi="Helvetica"/>
          <w:b/>
          <w:bCs/>
          <w:sz w:val="32"/>
          <w:szCs w:val="32"/>
          <w:lang w:val="en-GB"/>
        </w:rPr>
        <w:t>Clearly prohibiting all forms of institutionalisation</w:t>
      </w:r>
      <w:bookmarkEnd w:id="4"/>
    </w:p>
    <w:p w14:paraId="3AF3481B" w14:textId="3529C9CE" w:rsidR="00367175" w:rsidRDefault="00367175" w:rsidP="00367175">
      <w:pPr>
        <w:spacing w:line="360" w:lineRule="auto"/>
        <w:rPr>
          <w:rFonts w:ascii="Arial" w:hAnsi="Arial" w:cs="Arial"/>
          <w:sz w:val="24"/>
          <w:szCs w:val="24"/>
          <w:lang w:val="en-US"/>
        </w:rPr>
      </w:pPr>
      <w:r w:rsidRPr="00890501">
        <w:rPr>
          <w:rFonts w:ascii="Arial" w:hAnsi="Arial" w:cs="Arial"/>
          <w:sz w:val="24"/>
          <w:szCs w:val="24"/>
          <w:lang w:val="en-US"/>
        </w:rPr>
        <w:t>Under the Guidelines on Deinstitutionalisation, including in emergencies, the UNCRPD Committee h</w:t>
      </w:r>
      <w:r>
        <w:rPr>
          <w:rFonts w:ascii="Arial" w:hAnsi="Arial" w:cs="Arial"/>
          <w:sz w:val="24"/>
          <w:szCs w:val="24"/>
          <w:lang w:val="en-US"/>
        </w:rPr>
        <w:t>a</w:t>
      </w:r>
      <w:r w:rsidRPr="00890501">
        <w:rPr>
          <w:rFonts w:ascii="Arial" w:hAnsi="Arial" w:cs="Arial"/>
          <w:sz w:val="24"/>
          <w:szCs w:val="24"/>
          <w:lang w:val="en-US"/>
        </w:rPr>
        <w:t>s clarified that there is an immediate obligation</w:t>
      </w:r>
      <w:r w:rsidR="00A06B34">
        <w:rPr>
          <w:rFonts w:ascii="Arial" w:hAnsi="Arial" w:cs="Arial"/>
          <w:sz w:val="24"/>
          <w:szCs w:val="24"/>
          <w:lang w:val="en-US"/>
        </w:rPr>
        <w:t xml:space="preserve"> for State Parties</w:t>
      </w:r>
      <w:r w:rsidRPr="00890501">
        <w:rPr>
          <w:rFonts w:ascii="Arial" w:hAnsi="Arial" w:cs="Arial"/>
          <w:sz w:val="24"/>
          <w:szCs w:val="24"/>
          <w:lang w:val="en-US"/>
        </w:rPr>
        <w:t xml:space="preserve"> to abolish all forms of institutionalisation, which includes refraining from investing in institutions. Investments into institutions are to be prohibited and should be directed instead towards the release of residents and the provision of support. Public funds shall not be used to build or renovate institutions, and this funding must be reallocated towards inclusive community support systems and mainstream services. </w:t>
      </w:r>
    </w:p>
    <w:p w14:paraId="222212AC" w14:textId="77777777" w:rsidR="00367175" w:rsidRDefault="00367175" w:rsidP="00367175">
      <w:pPr>
        <w:spacing w:line="360" w:lineRule="auto"/>
        <w:rPr>
          <w:rFonts w:ascii="Arial" w:hAnsi="Arial" w:cs="Arial"/>
          <w:sz w:val="24"/>
          <w:szCs w:val="24"/>
          <w:lang w:val="en-US"/>
        </w:rPr>
      </w:pPr>
      <w:r>
        <w:rPr>
          <w:rFonts w:ascii="Arial" w:hAnsi="Arial" w:cs="Arial"/>
          <w:sz w:val="24"/>
          <w:szCs w:val="24"/>
          <w:lang w:val="en-US"/>
        </w:rPr>
        <w:t xml:space="preserve">Internal legal guidances should align with this obligation by establishing a clear prohibition to invest EU funds into any form of institutionalisation. No exceptions can </w:t>
      </w:r>
      <w:r>
        <w:rPr>
          <w:rFonts w:ascii="Arial" w:hAnsi="Arial" w:cs="Arial"/>
          <w:sz w:val="24"/>
          <w:szCs w:val="24"/>
          <w:lang w:val="en-US"/>
        </w:rPr>
        <w:lastRenderedPageBreak/>
        <w:t>be considered, including local circumstances. Even if the institutions provide decent conditions for the residents, the segregation of disabled people remains a violation of the UNCRPD; therefore, ensuring the health and wellbeing of residents is insufficient to consider an investment as compliant. Improving the conditions of existing institutions still perpetuates institutionalisation and should also be forbidden. The prohibition must include all forms of segregation, including institutions (whether large or small), group homes, special schools, sheltered workshops, etc.</w:t>
      </w:r>
    </w:p>
    <w:p w14:paraId="10330251" w14:textId="77777777" w:rsidR="00367175" w:rsidRDefault="00367175" w:rsidP="00367175">
      <w:pPr>
        <w:spacing w:line="360" w:lineRule="auto"/>
        <w:rPr>
          <w:rFonts w:ascii="Arial" w:hAnsi="Arial" w:cs="Arial"/>
          <w:sz w:val="24"/>
          <w:szCs w:val="24"/>
          <w:lang w:val="en-US"/>
        </w:rPr>
      </w:pPr>
      <w:r>
        <w:rPr>
          <w:rFonts w:ascii="Arial" w:hAnsi="Arial" w:cs="Arial"/>
          <w:sz w:val="24"/>
          <w:szCs w:val="24"/>
          <w:lang w:val="en-US"/>
        </w:rPr>
        <w:t>It is important to note that the idea that investments into institutions can be considered as long as there are simultaneous investments in social services is not based on the UNCRPD Committee’s interpretation or any other interpretation of human rights law. Human rights violations are not exonerated by positive action.</w:t>
      </w:r>
    </w:p>
    <w:p w14:paraId="0FEC88E3" w14:textId="77777777" w:rsidR="00367175" w:rsidRDefault="00367175" w:rsidP="00367175">
      <w:pPr>
        <w:spacing w:line="360" w:lineRule="auto"/>
        <w:rPr>
          <w:rFonts w:ascii="Arial" w:hAnsi="Arial" w:cs="Arial"/>
          <w:sz w:val="24"/>
          <w:szCs w:val="24"/>
          <w:lang w:val="en-US"/>
        </w:rPr>
      </w:pPr>
      <w:r>
        <w:rPr>
          <w:rFonts w:ascii="Arial" w:hAnsi="Arial" w:cs="Arial"/>
          <w:sz w:val="24"/>
          <w:szCs w:val="24"/>
          <w:lang w:val="en-US"/>
        </w:rPr>
        <w:t xml:space="preserve">Segregating disabled people into institutions is a form of discrimination. Therefore, the European Court of Justice’s jurisprudence regarding non-discrimination must apply. Despite the lack of regulations regarding discrimination based on disability, it is enshrined in article 21 of the </w:t>
      </w:r>
      <w:hyperlink r:id="rId21" w:history="1">
        <w:r w:rsidRPr="002A2D6A">
          <w:rPr>
            <w:rStyle w:val="Lienhypertexte"/>
            <w:rFonts w:ascii="Arial" w:hAnsi="Arial" w:cs="Arial"/>
            <w:sz w:val="24"/>
            <w:szCs w:val="24"/>
            <w:lang w:val="en-US"/>
          </w:rPr>
          <w:t>EU Charter of Fundamental Rights</w:t>
        </w:r>
      </w:hyperlink>
      <w:r>
        <w:rPr>
          <w:rFonts w:ascii="Arial" w:hAnsi="Arial" w:cs="Arial"/>
          <w:sz w:val="24"/>
          <w:szCs w:val="24"/>
          <w:lang w:val="en-US"/>
        </w:rPr>
        <w:t xml:space="preserve">, and the European Court of Justice has repeatedly addressed non-discrimination under the principle that </w:t>
      </w:r>
      <w:r w:rsidRPr="008A015E">
        <w:rPr>
          <w:rFonts w:ascii="Arial" w:hAnsi="Arial" w:cs="Arial"/>
          <w:sz w:val="24"/>
          <w:szCs w:val="24"/>
          <w:lang w:val="en-US"/>
        </w:rPr>
        <w:t>"similar situations shall not be treated differently unless differentiation is objectively justified".</w:t>
      </w:r>
      <w:r>
        <w:rPr>
          <w:rStyle w:val="Appelnotedebasdep"/>
          <w:rFonts w:ascii="Arial" w:hAnsi="Arial" w:cs="Arial"/>
          <w:sz w:val="24"/>
          <w:szCs w:val="24"/>
          <w:lang w:val="en-US"/>
        </w:rPr>
        <w:footnoteReference w:id="6"/>
      </w:r>
      <w:r>
        <w:rPr>
          <w:rFonts w:ascii="Arial" w:hAnsi="Arial" w:cs="Arial"/>
          <w:sz w:val="24"/>
          <w:szCs w:val="24"/>
          <w:lang w:val="en-US"/>
        </w:rPr>
        <w:t xml:space="preserve"> </w:t>
      </w:r>
    </w:p>
    <w:p w14:paraId="004C2D6F" w14:textId="77777777" w:rsidR="00367175" w:rsidRDefault="00367175" w:rsidP="00367175">
      <w:pPr>
        <w:spacing w:line="360" w:lineRule="auto"/>
        <w:rPr>
          <w:rFonts w:ascii="Arial" w:hAnsi="Arial" w:cs="Arial"/>
          <w:sz w:val="24"/>
          <w:szCs w:val="24"/>
          <w:lang w:val="en-US"/>
        </w:rPr>
      </w:pPr>
      <w:r>
        <w:rPr>
          <w:rFonts w:ascii="Arial" w:hAnsi="Arial" w:cs="Arial"/>
          <w:sz w:val="24"/>
          <w:szCs w:val="24"/>
          <w:lang w:val="en-US"/>
        </w:rPr>
        <w:t>To this day, the European Court of Justice has mostly addressed discrimination in employment in regards to disability,</w:t>
      </w:r>
      <w:r>
        <w:rPr>
          <w:rStyle w:val="Appelnotedebasdep"/>
          <w:rFonts w:ascii="Arial" w:hAnsi="Arial" w:cs="Arial"/>
          <w:sz w:val="24"/>
          <w:szCs w:val="24"/>
          <w:lang w:val="en-US"/>
        </w:rPr>
        <w:footnoteReference w:id="7"/>
      </w:r>
      <w:r>
        <w:rPr>
          <w:rFonts w:ascii="Arial" w:hAnsi="Arial" w:cs="Arial"/>
          <w:sz w:val="24"/>
          <w:szCs w:val="24"/>
          <w:lang w:val="en-US"/>
        </w:rPr>
        <w:t xml:space="preserve"> on the basis of </w:t>
      </w:r>
      <w:r w:rsidRPr="006926FE">
        <w:rPr>
          <w:rFonts w:ascii="Arial" w:hAnsi="Arial" w:cs="Arial"/>
          <w:sz w:val="24"/>
          <w:szCs w:val="24"/>
          <w:lang w:val="en-US"/>
        </w:rPr>
        <w:t>Article1 Directive  2000/78</w:t>
      </w:r>
      <w:r>
        <w:rPr>
          <w:rFonts w:ascii="Arial" w:hAnsi="Arial" w:cs="Arial"/>
          <w:sz w:val="24"/>
          <w:szCs w:val="24"/>
          <w:lang w:val="en-US"/>
        </w:rPr>
        <w:t xml:space="preserve">, and with the maximum that </w:t>
      </w:r>
      <w:r w:rsidRPr="00033565">
        <w:rPr>
          <w:rFonts w:ascii="Arial" w:hAnsi="Arial" w:cs="Arial"/>
          <w:sz w:val="24"/>
          <w:szCs w:val="24"/>
          <w:lang w:val="en-US"/>
        </w:rPr>
        <w:t>“</w:t>
      </w:r>
      <w:r>
        <w:rPr>
          <w:rFonts w:ascii="Arial" w:hAnsi="Arial" w:cs="Arial"/>
          <w:sz w:val="24"/>
          <w:szCs w:val="24"/>
          <w:lang w:val="en-US"/>
        </w:rPr>
        <w:t>t</w:t>
      </w:r>
      <w:r w:rsidRPr="00033565">
        <w:rPr>
          <w:rFonts w:ascii="Arial" w:hAnsi="Arial" w:cs="Arial"/>
          <w:sz w:val="24"/>
          <w:szCs w:val="24"/>
          <w:lang w:val="en-US"/>
        </w:rPr>
        <w:t>he Directive 2000/78 must, as far as possible, be interpreted in a manner consistent with the United Nations Convention on the Rights of Persons with Disabilities”</w:t>
      </w:r>
      <w:r>
        <w:rPr>
          <w:rFonts w:ascii="Arial" w:hAnsi="Arial" w:cs="Arial"/>
          <w:sz w:val="24"/>
          <w:szCs w:val="24"/>
          <w:lang w:val="en-US"/>
        </w:rPr>
        <w:t>.</w:t>
      </w:r>
      <w:r>
        <w:rPr>
          <w:rStyle w:val="Appelnotedebasdep"/>
          <w:rFonts w:ascii="Arial" w:hAnsi="Arial" w:cs="Arial"/>
          <w:sz w:val="24"/>
          <w:szCs w:val="24"/>
          <w:lang w:val="en-US"/>
        </w:rPr>
        <w:footnoteReference w:id="8"/>
      </w:r>
      <w:r>
        <w:rPr>
          <w:rFonts w:ascii="Arial" w:hAnsi="Arial" w:cs="Arial"/>
          <w:sz w:val="24"/>
          <w:szCs w:val="24"/>
          <w:lang w:val="en-US"/>
        </w:rPr>
        <w:t xml:space="preserve"> The question remains open as to whether the Court could follow </w:t>
      </w:r>
      <w:r>
        <w:rPr>
          <w:rFonts w:ascii="Arial" w:hAnsi="Arial" w:cs="Arial"/>
          <w:sz w:val="24"/>
          <w:szCs w:val="24"/>
          <w:lang w:val="en-US"/>
        </w:rPr>
        <w:lastRenderedPageBreak/>
        <w:t>international legal opinions and consider institutions being financed under EU monies as a form of discrimination and a violation of the EU Charter.</w:t>
      </w:r>
    </w:p>
    <w:p w14:paraId="153EF51C" w14:textId="371F15C1" w:rsidR="0015348B" w:rsidRDefault="00367175" w:rsidP="0015348B">
      <w:pPr>
        <w:pStyle w:val="Titre1"/>
        <w:rPr>
          <w:rFonts w:ascii="Helvetica" w:hAnsi="Helvetica"/>
          <w:b/>
          <w:bCs/>
          <w:sz w:val="32"/>
          <w:szCs w:val="32"/>
          <w:lang w:val="en-GB"/>
        </w:rPr>
      </w:pPr>
      <w:bookmarkStart w:id="5" w:name="_Toc185439117"/>
      <w:r>
        <w:rPr>
          <w:rFonts w:ascii="Helvetica" w:hAnsi="Helvetica"/>
          <w:b/>
          <w:bCs/>
          <w:sz w:val="32"/>
          <w:szCs w:val="32"/>
          <w:lang w:val="en-GB"/>
        </w:rPr>
        <w:t>Providing a clear definition of institution</w:t>
      </w:r>
      <w:bookmarkEnd w:id="5"/>
    </w:p>
    <w:p w14:paraId="4FCBF750" w14:textId="77777777" w:rsidR="00473B43" w:rsidRDefault="00473B43" w:rsidP="00473B43">
      <w:pPr>
        <w:spacing w:line="360" w:lineRule="auto"/>
        <w:rPr>
          <w:rFonts w:ascii="Arial" w:hAnsi="Arial" w:cs="Arial"/>
          <w:sz w:val="24"/>
          <w:szCs w:val="24"/>
          <w:lang w:val="en-US"/>
        </w:rPr>
      </w:pPr>
      <w:r>
        <w:rPr>
          <w:rFonts w:ascii="Arial" w:hAnsi="Arial" w:cs="Arial"/>
          <w:sz w:val="24"/>
          <w:szCs w:val="24"/>
          <w:lang w:val="en-US"/>
        </w:rPr>
        <w:t>The Guidelines include a definition of institution. Referring to this definition helps understand what constitutes an institution in light of the UNCRPD, and therefore which investments should not be allowed under EU funds.</w:t>
      </w:r>
    </w:p>
    <w:p w14:paraId="5EDBA05C" w14:textId="77777777" w:rsidR="00473B43" w:rsidRPr="00766E95" w:rsidRDefault="00473B43" w:rsidP="00473B43">
      <w:pPr>
        <w:spacing w:line="360" w:lineRule="auto"/>
        <w:rPr>
          <w:rFonts w:ascii="Arial" w:hAnsi="Arial" w:cs="Arial"/>
          <w:sz w:val="24"/>
          <w:szCs w:val="24"/>
          <w:lang w:val="en-US"/>
        </w:rPr>
      </w:pPr>
      <w:r>
        <w:rPr>
          <w:rFonts w:ascii="Arial" w:hAnsi="Arial" w:cs="Arial"/>
          <w:sz w:val="24"/>
          <w:szCs w:val="24"/>
          <w:lang w:val="en-US"/>
        </w:rPr>
        <w:t>According to the UNCRPD Committee, i</w:t>
      </w:r>
      <w:r w:rsidRPr="00766E95">
        <w:rPr>
          <w:rFonts w:ascii="Arial" w:hAnsi="Arial" w:cs="Arial"/>
          <w:sz w:val="24"/>
          <w:szCs w:val="24"/>
          <w:lang w:val="en-US"/>
        </w:rPr>
        <w:t xml:space="preserve">nstitutionalisation is any detention based on disability, which typically occurs in institutions. ‘Detention based on disability’ means that someone is put into a facility (a social care home, a psychiatric hospital etc.) just because they are disabled or perceived to be disabled. </w:t>
      </w:r>
    </w:p>
    <w:p w14:paraId="2AA3E3A2" w14:textId="77777777" w:rsidR="00473B43" w:rsidRPr="00766E95" w:rsidRDefault="00473B43" w:rsidP="00473B43">
      <w:pPr>
        <w:spacing w:line="360" w:lineRule="auto"/>
        <w:rPr>
          <w:rFonts w:ascii="Arial" w:hAnsi="Arial" w:cs="Arial"/>
          <w:sz w:val="24"/>
          <w:szCs w:val="24"/>
          <w:lang w:val="en-US"/>
        </w:rPr>
      </w:pPr>
      <w:r w:rsidRPr="00766E95">
        <w:rPr>
          <w:rFonts w:ascii="Arial" w:hAnsi="Arial" w:cs="Arial"/>
          <w:sz w:val="24"/>
          <w:szCs w:val="24"/>
          <w:lang w:val="en-US"/>
        </w:rPr>
        <w:t>Institutions share at least one of these defining elements:</w:t>
      </w:r>
    </w:p>
    <w:p w14:paraId="6C607B24"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Obligatory sharing of assistants with others and no or limited influence as to who provides the assistance;</w:t>
      </w:r>
    </w:p>
    <w:p w14:paraId="4C61043F"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Isolation and segregation from independent life in the community; </w:t>
      </w:r>
    </w:p>
    <w:p w14:paraId="40ECBB94"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Lack of control over day-to-day decisions, such as what to wear or eat; </w:t>
      </w:r>
    </w:p>
    <w:p w14:paraId="54E4FCAC"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Lack of choice for the individuals concerned over with whom they live; </w:t>
      </w:r>
    </w:p>
    <w:p w14:paraId="6FBE3F81"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Rigidity of routine irrespective of personal will and preferences, including having to go to bed and wake up at a certain time; </w:t>
      </w:r>
    </w:p>
    <w:p w14:paraId="70971CB7"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Identical activities in the same place for a group of individuals under a certain authority; </w:t>
      </w:r>
    </w:p>
    <w:p w14:paraId="70358533"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A paternalistic approach in service provision, making decisions for the persons thinking they know what is best for them; </w:t>
      </w:r>
    </w:p>
    <w:p w14:paraId="5043E4F2"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 xml:space="preserve">Supervision of living arrangements; </w:t>
      </w:r>
    </w:p>
    <w:p w14:paraId="57B2F5A6" w14:textId="77777777" w:rsidR="00473B43" w:rsidRPr="002B7FE2" w:rsidRDefault="00473B43" w:rsidP="00473B43">
      <w:pPr>
        <w:pStyle w:val="Paragraphedeliste"/>
        <w:numPr>
          <w:ilvl w:val="0"/>
          <w:numId w:val="39"/>
        </w:numPr>
        <w:spacing w:after="160" w:line="360" w:lineRule="auto"/>
        <w:rPr>
          <w:rFonts w:ascii="Arial" w:hAnsi="Arial" w:cs="Arial"/>
          <w:sz w:val="24"/>
          <w:szCs w:val="24"/>
          <w:lang w:val="en-US"/>
        </w:rPr>
      </w:pPr>
      <w:r w:rsidRPr="002B7FE2">
        <w:rPr>
          <w:rFonts w:ascii="Arial" w:hAnsi="Arial" w:cs="Arial"/>
          <w:sz w:val="24"/>
          <w:szCs w:val="24"/>
          <w:lang w:val="en-US"/>
        </w:rPr>
        <w:t>A disproportionate number of persons with disabilities in the same environment.</w:t>
      </w:r>
    </w:p>
    <w:p w14:paraId="0786C410" w14:textId="77777777" w:rsidR="00473B43" w:rsidRPr="00766E95" w:rsidRDefault="00473B43" w:rsidP="00473B43">
      <w:pPr>
        <w:spacing w:line="360" w:lineRule="auto"/>
        <w:rPr>
          <w:rFonts w:ascii="Arial" w:hAnsi="Arial" w:cs="Arial"/>
          <w:sz w:val="24"/>
          <w:szCs w:val="24"/>
          <w:lang w:val="en-US"/>
        </w:rPr>
      </w:pPr>
      <w:r w:rsidRPr="00766E95">
        <w:rPr>
          <w:rFonts w:ascii="Arial" w:hAnsi="Arial" w:cs="Arial"/>
          <w:sz w:val="24"/>
          <w:szCs w:val="24"/>
          <w:lang w:val="en-US"/>
        </w:rPr>
        <w:t>When it comes to children, an institution is anything other than a family.</w:t>
      </w:r>
    </w:p>
    <w:p w14:paraId="152BE3B9" w14:textId="1BDEFF10" w:rsidR="00473B43" w:rsidRPr="00473B43" w:rsidRDefault="00473B43" w:rsidP="00473B43">
      <w:pPr>
        <w:spacing w:line="360" w:lineRule="auto"/>
        <w:rPr>
          <w:rFonts w:ascii="Arial" w:hAnsi="Arial" w:cs="Arial"/>
          <w:sz w:val="24"/>
          <w:szCs w:val="24"/>
          <w:lang w:val="en-US"/>
        </w:rPr>
      </w:pPr>
      <w:r w:rsidRPr="00766E95">
        <w:rPr>
          <w:rFonts w:ascii="Arial" w:hAnsi="Arial" w:cs="Arial"/>
          <w:sz w:val="24"/>
          <w:szCs w:val="24"/>
          <w:lang w:val="en-US"/>
        </w:rPr>
        <w:t xml:space="preserve">The Guidelines list different types of institutions, but there might be more places that are not on this list. The names will also vary in different languages. The examples listed are social care institutions, psychiatric institutions, long-stay hospitals, nursing homes, secure dementia wards, special boarding schools, rehabilitation centres other than community-based, half-way homes, group homes, family-type homes for </w:t>
      </w:r>
      <w:r w:rsidRPr="00766E95">
        <w:rPr>
          <w:rFonts w:ascii="Arial" w:hAnsi="Arial" w:cs="Arial"/>
          <w:sz w:val="24"/>
          <w:szCs w:val="24"/>
          <w:lang w:val="en-US"/>
        </w:rPr>
        <w:lastRenderedPageBreak/>
        <w:t>children, sheltered or protected living homes, forensic psychiatric settings, transit homes, albinism hostels and leprosy colonies.</w:t>
      </w:r>
    </w:p>
    <w:p w14:paraId="31A0DB1C" w14:textId="3CAD446B" w:rsidR="0015348B" w:rsidRDefault="00473B43" w:rsidP="00224095">
      <w:pPr>
        <w:pStyle w:val="Titre1"/>
        <w:tabs>
          <w:tab w:val="left" w:pos="7738"/>
        </w:tabs>
        <w:rPr>
          <w:rFonts w:ascii="Helvetica" w:hAnsi="Helvetica"/>
          <w:b/>
          <w:bCs/>
          <w:sz w:val="32"/>
          <w:szCs w:val="32"/>
          <w:lang w:val="en-GB"/>
        </w:rPr>
      </w:pPr>
      <w:bookmarkStart w:id="6" w:name="_Toc185439118"/>
      <w:r>
        <w:rPr>
          <w:rFonts w:ascii="Helvetica" w:hAnsi="Helvetica"/>
          <w:b/>
          <w:bCs/>
          <w:sz w:val="32"/>
          <w:szCs w:val="32"/>
          <w:lang w:val="en-GB"/>
        </w:rPr>
        <w:t>Establishing the applicability of the EU Charte</w:t>
      </w:r>
      <w:r w:rsidR="00224095">
        <w:rPr>
          <w:rFonts w:ascii="Helvetica" w:hAnsi="Helvetica"/>
          <w:b/>
          <w:bCs/>
          <w:sz w:val="32"/>
          <w:szCs w:val="32"/>
          <w:lang w:val="en-GB"/>
        </w:rPr>
        <w:t>r on Fundamental Rights</w:t>
      </w:r>
      <w:bookmarkEnd w:id="6"/>
    </w:p>
    <w:p w14:paraId="0C2F5073" w14:textId="77777777" w:rsidR="00252BB2" w:rsidRPr="00890501" w:rsidRDefault="00252BB2" w:rsidP="00252BB2">
      <w:pPr>
        <w:spacing w:line="360" w:lineRule="auto"/>
        <w:rPr>
          <w:rFonts w:ascii="Arial" w:hAnsi="Arial" w:cs="Arial"/>
          <w:sz w:val="24"/>
          <w:szCs w:val="24"/>
          <w:lang w:val="en-US"/>
        </w:rPr>
      </w:pPr>
      <w:r w:rsidRPr="00890501">
        <w:rPr>
          <w:rFonts w:ascii="Arial" w:hAnsi="Arial" w:cs="Arial"/>
          <w:sz w:val="24"/>
          <w:szCs w:val="24"/>
          <w:lang w:val="en-US"/>
        </w:rPr>
        <w:t xml:space="preserve">The EU Charter on Fundamental Rights is recognized by article 6(1) of the Treaty of the European Union as having the same legal value as the Treaties. The Charter prohibits discrimination, including on the grounds of disability or age, in its article 21, and the integration of persons with disabilities, or their right to “benefit from measures designed to ensure their independence, social and occupational integration and participation in the life of the community” in article 26. </w:t>
      </w:r>
    </w:p>
    <w:p w14:paraId="0E2E0480" w14:textId="77777777" w:rsidR="00252BB2" w:rsidRDefault="00252BB2" w:rsidP="00252BB2">
      <w:pPr>
        <w:spacing w:line="360" w:lineRule="auto"/>
        <w:rPr>
          <w:rFonts w:ascii="Arial" w:hAnsi="Arial" w:cs="Arial"/>
          <w:sz w:val="24"/>
          <w:szCs w:val="24"/>
          <w:lang w:val="en-US"/>
        </w:rPr>
      </w:pPr>
      <w:r>
        <w:rPr>
          <w:rFonts w:ascii="Arial" w:hAnsi="Arial" w:cs="Arial"/>
          <w:sz w:val="24"/>
          <w:szCs w:val="24"/>
          <w:lang w:val="en-US"/>
        </w:rPr>
        <w:t>Nevertheless, regarding ENIL’s complaints, the European Commission has questioned</w:t>
      </w:r>
      <w:r w:rsidRPr="00890501">
        <w:rPr>
          <w:rFonts w:ascii="Arial" w:hAnsi="Arial" w:cs="Arial"/>
          <w:sz w:val="24"/>
          <w:szCs w:val="24"/>
          <w:lang w:val="en-US"/>
        </w:rPr>
        <w:t xml:space="preserve"> the applicability of the Charter in cases involving shared management funds. To this regard, the Commission has considered in the past that the implementation of ESI funds is indeed an implementation of EU law under the scope of the Charter, under the Commission notice: Guidance on ensuring the respect for the Charter of Fundamental Rights of the European Union when implementing ESIF, C/2016/4384. This notice states: “in the context of the implementation of the ESIF, all the Member States' actions undertaken for the implementation of the applicable regulations fall within the scope of EU law.” The notice further explains which specific situations fit the conditions of article 51 of the Charter, in which implementation by the national authorities is specifically mentioned, particularly regarding non-discrimination and the integration of disabled people.</w:t>
      </w:r>
    </w:p>
    <w:p w14:paraId="78C3D780" w14:textId="70CC038F" w:rsidR="00252BB2" w:rsidRPr="00252BB2" w:rsidRDefault="00252BB2" w:rsidP="00252BB2">
      <w:pPr>
        <w:spacing w:line="360" w:lineRule="auto"/>
        <w:rPr>
          <w:rFonts w:ascii="Arial" w:hAnsi="Arial" w:cs="Arial"/>
          <w:sz w:val="24"/>
          <w:szCs w:val="24"/>
          <w:lang w:val="en-US"/>
        </w:rPr>
      </w:pPr>
      <w:r>
        <w:rPr>
          <w:rFonts w:ascii="Arial" w:hAnsi="Arial" w:cs="Arial"/>
          <w:sz w:val="24"/>
          <w:szCs w:val="24"/>
          <w:lang w:val="en-US"/>
        </w:rPr>
        <w:t>Therefore, any internal guidance on deinstitutionalisation should follow this previous document regarding applicability of the Charter, and explicitly mention that investments from EU funds into services for disabled people fall under the scope of the Charter.</w:t>
      </w:r>
    </w:p>
    <w:p w14:paraId="57F1D1B9" w14:textId="307FBADE" w:rsidR="0015348B" w:rsidRPr="008E3B15" w:rsidRDefault="00252BB2" w:rsidP="0015348B">
      <w:pPr>
        <w:pStyle w:val="Titre1"/>
        <w:rPr>
          <w:rFonts w:ascii="Helvetica" w:hAnsi="Helvetica"/>
          <w:b/>
          <w:bCs/>
          <w:sz w:val="32"/>
          <w:szCs w:val="32"/>
          <w:lang w:val="en-GB"/>
        </w:rPr>
      </w:pPr>
      <w:bookmarkStart w:id="7" w:name="_Toc185439119"/>
      <w:r>
        <w:rPr>
          <w:rFonts w:ascii="Helvetica" w:hAnsi="Helvetica"/>
          <w:b/>
          <w:bCs/>
          <w:sz w:val="32"/>
          <w:szCs w:val="32"/>
          <w:lang w:val="en-GB"/>
        </w:rPr>
        <w:t>Encouraging investments that promote independent living</w:t>
      </w:r>
      <w:bookmarkEnd w:id="7"/>
    </w:p>
    <w:p w14:paraId="3FD46365" w14:textId="77777777" w:rsidR="009F4AC4" w:rsidRDefault="009F4AC4" w:rsidP="009F4AC4">
      <w:pPr>
        <w:spacing w:line="360" w:lineRule="auto"/>
        <w:rPr>
          <w:rFonts w:ascii="Arial" w:hAnsi="Arial" w:cs="Arial"/>
          <w:sz w:val="24"/>
          <w:szCs w:val="24"/>
          <w:lang w:val="en-US"/>
        </w:rPr>
      </w:pPr>
      <w:r w:rsidRPr="00E55C6E">
        <w:rPr>
          <w:rFonts w:ascii="Arial" w:hAnsi="Arial" w:cs="Arial"/>
          <w:sz w:val="24"/>
          <w:szCs w:val="24"/>
          <w:lang w:val="en-US"/>
        </w:rPr>
        <w:t xml:space="preserve">The establishment of support services is an essential element of the right to independent living. Having access to the support a disabled person needs and wants ultimately enables the person to make their own decisions about their lives and access mainstream services, employment, education, etc. According to the </w:t>
      </w:r>
      <w:r w:rsidRPr="00E55C6E">
        <w:rPr>
          <w:rFonts w:ascii="Arial" w:hAnsi="Arial" w:cs="Arial"/>
          <w:sz w:val="24"/>
          <w:szCs w:val="24"/>
          <w:lang w:val="en-US"/>
        </w:rPr>
        <w:lastRenderedPageBreak/>
        <w:t>Guidelines, s</w:t>
      </w:r>
      <w:r w:rsidRPr="008338F6">
        <w:rPr>
          <w:rFonts w:ascii="Arial" w:hAnsi="Arial" w:cs="Arial"/>
          <w:sz w:val="24"/>
          <w:szCs w:val="24"/>
          <w:lang w:val="en-US"/>
        </w:rPr>
        <w:t>upport services for living independently should be available, accessible, acceptable, affordable and adaptable.</w:t>
      </w:r>
      <w:r w:rsidRPr="00E55C6E">
        <w:rPr>
          <w:rFonts w:ascii="Arial" w:hAnsi="Arial" w:cs="Arial"/>
          <w:sz w:val="24"/>
          <w:szCs w:val="24"/>
          <w:lang w:val="en-US"/>
        </w:rPr>
        <w:t xml:space="preserve"> Some examples of support services are personal assistance, peer support, or the provision of assistive technology. </w:t>
      </w:r>
    </w:p>
    <w:p w14:paraId="51F5EAC3" w14:textId="77777777" w:rsidR="009F4AC4" w:rsidRDefault="009F4AC4" w:rsidP="009F4AC4">
      <w:pPr>
        <w:spacing w:line="360" w:lineRule="auto"/>
        <w:rPr>
          <w:rFonts w:ascii="Arial" w:hAnsi="Arial" w:cs="Arial"/>
          <w:sz w:val="24"/>
          <w:szCs w:val="24"/>
          <w:lang w:val="en-US"/>
        </w:rPr>
      </w:pPr>
      <w:r>
        <w:rPr>
          <w:rFonts w:ascii="Arial" w:hAnsi="Arial" w:cs="Arial"/>
          <w:sz w:val="24"/>
          <w:szCs w:val="24"/>
          <w:lang w:val="en-US"/>
        </w:rPr>
        <w:t xml:space="preserve">The financing of personal assistance by EU structural funds is now limited to some pilot projects. The EU could play a pivotal role in financing these services, which are a pillar of independent living. It is necessary to examine that, when personal assistance is being financed, it respects some minimum criteria to be in line with the UNCRPD, so that it is different from care services in institutions. General Comment No. 5 provides some key elements: </w:t>
      </w:r>
    </w:p>
    <w:p w14:paraId="623C2935" w14:textId="77777777" w:rsidR="009F4AC4" w:rsidRPr="009558EF" w:rsidRDefault="009F4AC4" w:rsidP="009F4AC4">
      <w:pPr>
        <w:pStyle w:val="Paragraphedeliste"/>
        <w:numPr>
          <w:ilvl w:val="0"/>
          <w:numId w:val="40"/>
        </w:numPr>
        <w:spacing w:after="160" w:line="360" w:lineRule="auto"/>
        <w:rPr>
          <w:rFonts w:ascii="Arial" w:hAnsi="Arial" w:cs="Arial"/>
          <w:sz w:val="24"/>
          <w:szCs w:val="24"/>
          <w:lang w:val="en-US"/>
        </w:rPr>
      </w:pPr>
      <w:r w:rsidRPr="009558EF">
        <w:rPr>
          <w:rFonts w:ascii="Arial" w:hAnsi="Arial" w:cs="Arial"/>
          <w:sz w:val="24"/>
          <w:szCs w:val="24"/>
          <w:lang w:val="en-US"/>
        </w:rPr>
        <w:t>Funding must be provided on the basis of personalized criteria, and the funding is to be allocated to and controlled by the user.</w:t>
      </w:r>
    </w:p>
    <w:p w14:paraId="3905C573" w14:textId="77777777" w:rsidR="009F4AC4" w:rsidRPr="009558EF" w:rsidRDefault="009F4AC4" w:rsidP="009F4AC4">
      <w:pPr>
        <w:pStyle w:val="Paragraphedeliste"/>
        <w:numPr>
          <w:ilvl w:val="0"/>
          <w:numId w:val="40"/>
        </w:numPr>
        <w:spacing w:after="160" w:line="360" w:lineRule="auto"/>
        <w:rPr>
          <w:rFonts w:ascii="Arial" w:hAnsi="Arial" w:cs="Arial"/>
          <w:sz w:val="24"/>
          <w:szCs w:val="24"/>
          <w:lang w:val="en-US"/>
        </w:rPr>
      </w:pPr>
      <w:r w:rsidRPr="009558EF">
        <w:rPr>
          <w:rFonts w:ascii="Arial" w:hAnsi="Arial" w:cs="Arial"/>
          <w:sz w:val="24"/>
          <w:szCs w:val="24"/>
          <w:lang w:val="en-US"/>
        </w:rPr>
        <w:t xml:space="preserve">The service must be controlled by the user, who can decide who, when, how and where the service is provided. </w:t>
      </w:r>
    </w:p>
    <w:p w14:paraId="2D749589" w14:textId="77777777" w:rsidR="009F4AC4" w:rsidRPr="009558EF" w:rsidRDefault="009F4AC4" w:rsidP="009F4AC4">
      <w:pPr>
        <w:pStyle w:val="Paragraphedeliste"/>
        <w:numPr>
          <w:ilvl w:val="0"/>
          <w:numId w:val="40"/>
        </w:numPr>
        <w:spacing w:after="160" w:line="360" w:lineRule="auto"/>
        <w:rPr>
          <w:rFonts w:ascii="Arial" w:hAnsi="Arial" w:cs="Arial"/>
          <w:sz w:val="24"/>
          <w:szCs w:val="24"/>
          <w:lang w:val="en-US"/>
        </w:rPr>
      </w:pPr>
      <w:r w:rsidRPr="009558EF">
        <w:rPr>
          <w:rFonts w:ascii="Arial" w:hAnsi="Arial" w:cs="Arial"/>
          <w:sz w:val="24"/>
          <w:szCs w:val="24"/>
          <w:lang w:val="en-US"/>
        </w:rPr>
        <w:t>Personal assistance is a one-to-one relationship, so personal assistants should not be shared without the full and free consent of the user.</w:t>
      </w:r>
    </w:p>
    <w:p w14:paraId="6C996A8E" w14:textId="77777777" w:rsidR="009F4AC4" w:rsidRPr="002A2D6A" w:rsidRDefault="009F4AC4" w:rsidP="009F4AC4">
      <w:pPr>
        <w:pStyle w:val="Paragraphedeliste"/>
        <w:numPr>
          <w:ilvl w:val="0"/>
          <w:numId w:val="40"/>
        </w:numPr>
        <w:spacing w:after="160" w:line="360" w:lineRule="auto"/>
        <w:rPr>
          <w:rFonts w:ascii="Arial" w:hAnsi="Arial" w:cs="Arial"/>
          <w:sz w:val="24"/>
          <w:szCs w:val="24"/>
          <w:lang w:val="en-US"/>
        </w:rPr>
      </w:pPr>
      <w:r w:rsidRPr="009558EF">
        <w:rPr>
          <w:rFonts w:ascii="Arial" w:hAnsi="Arial" w:cs="Arial"/>
          <w:sz w:val="24"/>
          <w:szCs w:val="24"/>
          <w:lang w:val="en-US"/>
        </w:rPr>
        <w:t>The service is managed by the user, and even if the externalize some of the responsibilities as employers, they remain at the center of any decision.</w:t>
      </w:r>
      <w:r>
        <w:rPr>
          <w:rStyle w:val="Appelnotedebasdep"/>
          <w:rFonts w:ascii="Arial" w:hAnsi="Arial" w:cs="Arial"/>
          <w:sz w:val="24"/>
          <w:szCs w:val="24"/>
          <w:lang w:val="en-US"/>
        </w:rPr>
        <w:footnoteReference w:id="9"/>
      </w:r>
    </w:p>
    <w:p w14:paraId="5499B5DB" w14:textId="77777777" w:rsidR="009F4AC4" w:rsidRPr="00E55C6E" w:rsidRDefault="009F4AC4" w:rsidP="009F4AC4">
      <w:pPr>
        <w:spacing w:line="360" w:lineRule="auto"/>
        <w:rPr>
          <w:rFonts w:ascii="Arial" w:hAnsi="Arial" w:cs="Arial"/>
          <w:sz w:val="24"/>
          <w:szCs w:val="24"/>
          <w:lang w:val="en-US"/>
        </w:rPr>
      </w:pPr>
      <w:r>
        <w:rPr>
          <w:rFonts w:ascii="Arial" w:hAnsi="Arial" w:cs="Arial"/>
          <w:sz w:val="24"/>
          <w:szCs w:val="24"/>
          <w:lang w:val="en-US"/>
        </w:rPr>
        <w:t>To empower disabled people, EU funds can fund them as service providers, supporting the work of Centers for Independent Living and Personal Assistance Cooperatives. As they are often small actors, they struggle to access EU funding, but their work is essential to implement the right to live independently and to put in place independent living services, such as personal assistance and peer support.</w:t>
      </w:r>
    </w:p>
    <w:p w14:paraId="27E27E88" w14:textId="77777777" w:rsidR="009F4AC4" w:rsidRDefault="009F4AC4" w:rsidP="009F4AC4">
      <w:pPr>
        <w:spacing w:line="360" w:lineRule="auto"/>
        <w:rPr>
          <w:rFonts w:ascii="Arial" w:hAnsi="Arial" w:cs="Arial"/>
          <w:sz w:val="24"/>
          <w:szCs w:val="24"/>
          <w:lang w:val="en-US"/>
        </w:rPr>
      </w:pPr>
      <w:r w:rsidRPr="00E55C6E">
        <w:rPr>
          <w:rFonts w:ascii="Arial" w:hAnsi="Arial" w:cs="Arial"/>
          <w:sz w:val="24"/>
          <w:szCs w:val="24"/>
          <w:lang w:val="en-US"/>
        </w:rPr>
        <w:t xml:space="preserve">Other aspects that EU funds can support are the improvement of accessibility of the built environment and public transport, access to healthcare and rehabilitation services, in-home support, telemedicine, access to mainstream employment, inclusive education, etc. </w:t>
      </w:r>
    </w:p>
    <w:p w14:paraId="371CF76E" w14:textId="77777777" w:rsidR="009F4AC4" w:rsidRDefault="009F4AC4" w:rsidP="009F4AC4">
      <w:pPr>
        <w:widowControl w:val="0"/>
        <w:tabs>
          <w:tab w:val="left" w:pos="477"/>
        </w:tabs>
        <w:autoSpaceDE w:val="0"/>
        <w:autoSpaceDN w:val="0"/>
        <w:spacing w:before="118" w:line="360" w:lineRule="auto"/>
        <w:ind w:right="132"/>
        <w:jc w:val="both"/>
        <w:rPr>
          <w:rFonts w:ascii="Arial" w:hAnsi="Arial" w:cs="Arial"/>
          <w:sz w:val="24"/>
          <w:szCs w:val="24"/>
          <w:lang w:val="en-US"/>
        </w:rPr>
      </w:pPr>
      <w:r>
        <w:rPr>
          <w:rFonts w:ascii="Arial" w:hAnsi="Arial" w:cs="Arial"/>
          <w:sz w:val="24"/>
          <w:szCs w:val="24"/>
          <w:lang w:val="en-US"/>
        </w:rPr>
        <w:t xml:space="preserve">Additionally, EU structural funds could further support the development of </w:t>
      </w:r>
      <w:r>
        <w:rPr>
          <w:rFonts w:ascii="Arial" w:hAnsi="Arial" w:cs="Arial"/>
          <w:sz w:val="24"/>
          <w:szCs w:val="24"/>
          <w:lang w:val="en-US"/>
        </w:rPr>
        <w:lastRenderedPageBreak/>
        <w:t xml:space="preserve">deinstitutionalisation strategies and plans, and individual planning for people that are leaving institutions or that at a high risk of being institutionalized. Those most at risk of institutionalisation need to be prioritized in any planning. </w:t>
      </w:r>
    </w:p>
    <w:p w14:paraId="6D4D107F" w14:textId="77777777" w:rsidR="009F4AC4" w:rsidRPr="00A85BCB" w:rsidRDefault="009F4AC4" w:rsidP="009F4AC4">
      <w:pPr>
        <w:widowControl w:val="0"/>
        <w:tabs>
          <w:tab w:val="left" w:pos="477"/>
        </w:tabs>
        <w:autoSpaceDE w:val="0"/>
        <w:autoSpaceDN w:val="0"/>
        <w:spacing w:before="118" w:line="360" w:lineRule="auto"/>
        <w:ind w:right="132"/>
        <w:jc w:val="both"/>
        <w:rPr>
          <w:rFonts w:ascii="Arial" w:hAnsi="Arial" w:cs="Arial"/>
          <w:bCs/>
          <w:sz w:val="24"/>
          <w:szCs w:val="24"/>
          <w:lang w:val="en-US"/>
        </w:rPr>
      </w:pPr>
      <w:r w:rsidRPr="00E55C6E">
        <w:rPr>
          <w:rFonts w:ascii="Arial" w:hAnsi="Arial" w:cs="Arial"/>
          <w:bCs/>
          <w:sz w:val="24"/>
          <w:szCs w:val="24"/>
          <w:lang w:val="en-US"/>
        </w:rPr>
        <w:t xml:space="preserve">Technical assistance can </w:t>
      </w:r>
      <w:r>
        <w:rPr>
          <w:rFonts w:ascii="Arial" w:hAnsi="Arial" w:cs="Arial"/>
          <w:bCs/>
          <w:sz w:val="24"/>
          <w:szCs w:val="24"/>
          <w:lang w:val="en-US"/>
        </w:rPr>
        <w:t xml:space="preserve">also </w:t>
      </w:r>
      <w:r w:rsidRPr="00E55C6E">
        <w:rPr>
          <w:rFonts w:ascii="Arial" w:hAnsi="Arial" w:cs="Arial"/>
          <w:bCs/>
          <w:sz w:val="24"/>
          <w:szCs w:val="24"/>
          <w:lang w:val="en-US"/>
        </w:rPr>
        <w:t>be used to reinforce capacity of</w:t>
      </w:r>
      <w:r>
        <w:rPr>
          <w:rFonts w:ascii="Arial" w:hAnsi="Arial" w:cs="Arial"/>
          <w:bCs/>
          <w:sz w:val="24"/>
          <w:szCs w:val="24"/>
          <w:lang w:val="en-US"/>
        </w:rPr>
        <w:t xml:space="preserve"> Disabled People’s Organisations (</w:t>
      </w:r>
      <w:r w:rsidRPr="00E55C6E">
        <w:rPr>
          <w:rFonts w:ascii="Arial" w:hAnsi="Arial" w:cs="Arial"/>
          <w:bCs/>
          <w:sz w:val="24"/>
          <w:szCs w:val="24"/>
          <w:lang w:val="en-US"/>
        </w:rPr>
        <w:t>DPOs</w:t>
      </w:r>
      <w:r>
        <w:rPr>
          <w:rFonts w:ascii="Arial" w:hAnsi="Arial" w:cs="Arial"/>
          <w:bCs/>
          <w:sz w:val="24"/>
          <w:szCs w:val="24"/>
          <w:lang w:val="en-US"/>
        </w:rPr>
        <w:t>)</w:t>
      </w:r>
      <w:r w:rsidRPr="00E55C6E">
        <w:rPr>
          <w:rFonts w:ascii="Arial" w:hAnsi="Arial" w:cs="Arial"/>
          <w:bCs/>
          <w:sz w:val="24"/>
          <w:szCs w:val="24"/>
          <w:lang w:val="en-US"/>
        </w:rPr>
        <w:t xml:space="preserve"> at national, regional and local levels, and to develop deinstitutionalisation strategies and plans that are in line with the UNCRPD. The expertise of DPOs and survivors of institutionalisation </w:t>
      </w:r>
      <w:r>
        <w:rPr>
          <w:rFonts w:ascii="Arial" w:hAnsi="Arial" w:cs="Arial"/>
          <w:bCs/>
          <w:sz w:val="24"/>
          <w:szCs w:val="24"/>
          <w:lang w:val="en-US"/>
        </w:rPr>
        <w:t xml:space="preserve">is to </w:t>
      </w:r>
      <w:r w:rsidRPr="00E55C6E">
        <w:rPr>
          <w:rFonts w:ascii="Arial" w:hAnsi="Arial" w:cs="Arial"/>
          <w:bCs/>
          <w:sz w:val="24"/>
          <w:szCs w:val="24"/>
          <w:lang w:val="en-US"/>
        </w:rPr>
        <w:t xml:space="preserve">be valued, and survivors of deinstitutionalisation must not only participate, but be leaders of the deinstitutionalisation process. </w:t>
      </w:r>
    </w:p>
    <w:p w14:paraId="407EDAAA" w14:textId="77777777" w:rsidR="009F4AC4" w:rsidRPr="00E55C6E" w:rsidRDefault="009F4AC4" w:rsidP="009F4AC4">
      <w:pPr>
        <w:spacing w:line="360" w:lineRule="auto"/>
        <w:rPr>
          <w:rFonts w:ascii="Arial" w:hAnsi="Arial" w:cs="Arial"/>
          <w:sz w:val="24"/>
          <w:szCs w:val="24"/>
          <w:lang w:val="en-US"/>
        </w:rPr>
      </w:pPr>
      <w:r w:rsidRPr="00E55C6E">
        <w:rPr>
          <w:rFonts w:ascii="Arial" w:hAnsi="Arial" w:cs="Arial"/>
          <w:sz w:val="24"/>
          <w:szCs w:val="24"/>
          <w:lang w:val="en-US"/>
        </w:rPr>
        <w:t>It is important, however, that</w:t>
      </w:r>
      <w:r>
        <w:rPr>
          <w:rFonts w:ascii="Arial" w:hAnsi="Arial" w:cs="Arial"/>
          <w:sz w:val="24"/>
          <w:szCs w:val="24"/>
          <w:lang w:val="en-US"/>
        </w:rPr>
        <w:t xml:space="preserve"> any investments that aim to support independent living are not part of projects where there are investments in institutions. For instance, funding a physical therapy service in an institution perpetuates institutionalisation, as it may remain the only option available to access the services.</w:t>
      </w:r>
    </w:p>
    <w:p w14:paraId="2955A12B" w14:textId="161E223E" w:rsidR="0015348B" w:rsidRPr="008E3B15" w:rsidRDefault="009F4AC4" w:rsidP="0015348B">
      <w:pPr>
        <w:pStyle w:val="Titre1"/>
        <w:rPr>
          <w:rFonts w:ascii="Helvetica" w:hAnsi="Helvetica"/>
          <w:b/>
          <w:bCs/>
          <w:sz w:val="32"/>
          <w:szCs w:val="32"/>
          <w:lang w:val="en-GB"/>
        </w:rPr>
      </w:pPr>
      <w:bookmarkStart w:id="8" w:name="_Toc185439120"/>
      <w:r>
        <w:rPr>
          <w:rFonts w:ascii="Helvetica" w:hAnsi="Helvetica"/>
          <w:b/>
          <w:bCs/>
          <w:sz w:val="32"/>
          <w:szCs w:val="32"/>
          <w:lang w:val="en-GB"/>
        </w:rPr>
        <w:t>Recognising the past and providing re</w:t>
      </w:r>
      <w:r w:rsidR="004F4AE9">
        <w:rPr>
          <w:rFonts w:ascii="Helvetica" w:hAnsi="Helvetica"/>
          <w:b/>
          <w:bCs/>
          <w:sz w:val="32"/>
          <w:szCs w:val="32"/>
          <w:lang w:val="en-GB"/>
        </w:rPr>
        <w:t>parations</w:t>
      </w:r>
      <w:bookmarkEnd w:id="8"/>
    </w:p>
    <w:p w14:paraId="78B0DC56" w14:textId="77777777" w:rsidR="00C8082E" w:rsidRDefault="00C8082E" w:rsidP="00C8082E">
      <w:pPr>
        <w:spacing w:line="360" w:lineRule="auto"/>
        <w:rPr>
          <w:rFonts w:ascii="Arial" w:hAnsi="Arial" w:cs="Arial"/>
          <w:sz w:val="24"/>
          <w:szCs w:val="24"/>
          <w:lang w:val="en-US"/>
        </w:rPr>
      </w:pPr>
      <w:r w:rsidRPr="00AF7914">
        <w:rPr>
          <w:rFonts w:ascii="Arial" w:hAnsi="Arial" w:cs="Arial"/>
          <w:sz w:val="24"/>
          <w:szCs w:val="24"/>
          <w:lang w:val="en-US"/>
        </w:rPr>
        <w:t xml:space="preserve">The </w:t>
      </w:r>
      <w:r>
        <w:rPr>
          <w:rFonts w:ascii="Arial" w:hAnsi="Arial" w:cs="Arial"/>
          <w:sz w:val="24"/>
          <w:szCs w:val="24"/>
          <w:lang w:val="en-US"/>
        </w:rPr>
        <w:t xml:space="preserve">UN </w:t>
      </w:r>
      <w:r w:rsidRPr="00AF7914">
        <w:rPr>
          <w:rFonts w:ascii="Arial" w:hAnsi="Arial" w:cs="Arial"/>
          <w:sz w:val="24"/>
          <w:szCs w:val="24"/>
          <w:lang w:val="en-US"/>
        </w:rPr>
        <w:t>Guidelines consider that survivors of institutionalization are entitled to reparations. Some of the reparations suggested by the Guidelines include</w:t>
      </w:r>
      <w:r>
        <w:rPr>
          <w:rFonts w:ascii="Arial" w:hAnsi="Arial" w:cs="Arial"/>
          <w:sz w:val="24"/>
          <w:szCs w:val="24"/>
          <w:lang w:val="en-US"/>
        </w:rPr>
        <w:t xml:space="preserve"> the recognition of institutionalisation as a violation of the UNCRPD, access to justice for people seeking reparation, and the establishment of a mechanism for formal apologies and compensation. </w:t>
      </w:r>
      <w:r w:rsidRPr="00AF7914">
        <w:rPr>
          <w:rFonts w:ascii="Arial" w:hAnsi="Arial" w:cs="Arial"/>
          <w:sz w:val="24"/>
          <w:szCs w:val="24"/>
          <w:lang w:val="en-US"/>
        </w:rPr>
        <w:t>All these reparations should be done in consultation and with the involvement of disabled people, in particular of survivors of institutionalization.</w:t>
      </w:r>
    </w:p>
    <w:p w14:paraId="3401D00C" w14:textId="77777777" w:rsidR="00C8082E" w:rsidRDefault="00C8082E" w:rsidP="00C8082E">
      <w:pPr>
        <w:spacing w:line="360" w:lineRule="auto"/>
        <w:rPr>
          <w:rFonts w:ascii="Arial" w:hAnsi="Arial" w:cs="Arial"/>
          <w:sz w:val="24"/>
          <w:szCs w:val="24"/>
          <w:lang w:val="en-US"/>
        </w:rPr>
      </w:pPr>
      <w:r>
        <w:rPr>
          <w:rFonts w:ascii="Arial" w:hAnsi="Arial" w:cs="Arial"/>
          <w:sz w:val="24"/>
          <w:szCs w:val="24"/>
          <w:lang w:val="en-US"/>
        </w:rPr>
        <w:t xml:space="preserve">The EU, as a State Party to the UNCRPD, should collaborate with Member States to provide remedies to survivors when EU monies have been spent towards institutions. This can be done through technical assistance and EU funding to establish mechanisms to obtain reparation; through the prohibition in EU structural funds of investments into institutions; and through the use of the infringement procedure when managing authorities make unplanned investments into institutions. </w:t>
      </w:r>
    </w:p>
    <w:p w14:paraId="160323A0" w14:textId="139A6C4B" w:rsidR="00664217" w:rsidRPr="00C8082E" w:rsidRDefault="00C8082E" w:rsidP="00C8082E">
      <w:pPr>
        <w:spacing w:line="360" w:lineRule="auto"/>
        <w:rPr>
          <w:rFonts w:ascii="Arial" w:hAnsi="Arial" w:cs="Arial"/>
          <w:sz w:val="24"/>
          <w:szCs w:val="24"/>
          <w:lang w:val="en-US"/>
        </w:rPr>
      </w:pPr>
      <w:r>
        <w:rPr>
          <w:rFonts w:ascii="Arial" w:hAnsi="Arial" w:cs="Arial"/>
          <w:sz w:val="24"/>
          <w:szCs w:val="24"/>
          <w:lang w:val="en-US"/>
        </w:rPr>
        <w:lastRenderedPageBreak/>
        <w:t>ENIL has complained in multiple occasions to the European Commisssion about investments into institutions.</w:t>
      </w:r>
      <w:r>
        <w:rPr>
          <w:rStyle w:val="Appelnotedebasdep"/>
          <w:rFonts w:ascii="Arial" w:hAnsi="Arial" w:cs="Arial"/>
          <w:sz w:val="24"/>
          <w:szCs w:val="24"/>
          <w:lang w:val="en-US"/>
        </w:rPr>
        <w:footnoteReference w:id="10"/>
      </w:r>
      <w:r>
        <w:rPr>
          <w:rFonts w:ascii="Arial" w:hAnsi="Arial" w:cs="Arial"/>
          <w:sz w:val="24"/>
          <w:szCs w:val="24"/>
          <w:lang w:val="en-US"/>
        </w:rPr>
        <w:t xml:space="preserve"> A recognition of these investments and prevention mechanisms to ensure they do not happen again in the future are also reparations that must be undertaken. Part of the prevention would be ensuring that all of the Commission staff working on EU funds and deinstitutionalisation becomes familiar with the UN Guidelines.</w:t>
      </w:r>
    </w:p>
    <w:p w14:paraId="3755918B" w14:textId="6F315539" w:rsidR="0015348B" w:rsidRDefault="00FA2499" w:rsidP="0015348B">
      <w:pPr>
        <w:pStyle w:val="Titre1"/>
        <w:rPr>
          <w:rFonts w:ascii="Helvetica" w:hAnsi="Helvetica"/>
          <w:b/>
          <w:bCs/>
          <w:sz w:val="32"/>
          <w:szCs w:val="32"/>
          <w:lang w:val="en-GB"/>
        </w:rPr>
      </w:pPr>
      <w:bookmarkStart w:id="9" w:name="_Toc185439121"/>
      <w:r>
        <w:rPr>
          <w:rFonts w:ascii="Helvetica" w:hAnsi="Helvetica"/>
          <w:b/>
          <w:bCs/>
          <w:sz w:val="32"/>
          <w:szCs w:val="32"/>
          <w:lang w:val="en-GB"/>
        </w:rPr>
        <w:t>Conclusion</w:t>
      </w:r>
      <w:bookmarkEnd w:id="9"/>
    </w:p>
    <w:p w14:paraId="3461D7C2" w14:textId="2938AB73" w:rsidR="00FA2499" w:rsidRPr="00FA2499" w:rsidRDefault="00FA2499" w:rsidP="00FA2499">
      <w:pPr>
        <w:spacing w:line="360" w:lineRule="auto"/>
        <w:rPr>
          <w:rFonts w:ascii="Arial" w:hAnsi="Arial" w:cs="Arial"/>
          <w:sz w:val="24"/>
          <w:szCs w:val="24"/>
          <w:lang w:val="en-US"/>
        </w:rPr>
      </w:pPr>
      <w:r w:rsidRPr="00E60495">
        <w:rPr>
          <w:rFonts w:ascii="Arial" w:hAnsi="Arial" w:cs="Arial"/>
          <w:sz w:val="24"/>
          <w:szCs w:val="24"/>
          <w:lang w:val="en-US"/>
        </w:rPr>
        <w:t>With the next Multiannual Financial Framework coming up after 2027, it is time to rethink EU funds for deinstitutionalisation. Aside from integrating human rights into the regulations, the European Commission must be clear in their conversations with managing authorities about the prohibition to invest in institutions, and take action when this is ignored. Internal legal guidance at the European Commission must align with international human rights standards, reflected in this document, to ensure that EU funds effectively promote independent living instead of segregation.</w:t>
      </w:r>
    </w:p>
    <w:p w14:paraId="5616DFC5" w14:textId="77777777" w:rsidR="00BE22CE" w:rsidRDefault="00BE22CE" w:rsidP="00FC6314">
      <w:pPr>
        <w:jc w:val="both"/>
        <w:rPr>
          <w:rFonts w:ascii="Helvetica" w:hAnsi="Helvetica" w:cs="Arial"/>
          <w:sz w:val="24"/>
          <w:szCs w:val="24"/>
          <w:lang w:val="en-GB"/>
        </w:rPr>
      </w:pPr>
    </w:p>
    <w:p w14:paraId="61A4F7A7" w14:textId="77777777" w:rsidR="000C263B" w:rsidRDefault="000C263B" w:rsidP="00FC6314">
      <w:pPr>
        <w:jc w:val="both"/>
        <w:rPr>
          <w:rFonts w:ascii="Helvetica" w:hAnsi="Helvetica" w:cs="Arial"/>
          <w:sz w:val="24"/>
          <w:szCs w:val="24"/>
          <w:lang w:val="en-GB"/>
        </w:rPr>
      </w:pPr>
    </w:p>
    <w:p w14:paraId="58A6F1FF" w14:textId="77777777" w:rsidR="000C263B" w:rsidRDefault="000C263B" w:rsidP="00FC6314">
      <w:pPr>
        <w:jc w:val="both"/>
        <w:rPr>
          <w:rFonts w:ascii="Helvetica" w:hAnsi="Helvetica" w:cs="Arial"/>
          <w:sz w:val="24"/>
          <w:szCs w:val="24"/>
          <w:lang w:val="en-GB"/>
        </w:rPr>
      </w:pPr>
    </w:p>
    <w:p w14:paraId="3C1A56D6" w14:textId="77777777" w:rsidR="000C263B" w:rsidRDefault="000C263B" w:rsidP="00FC6314">
      <w:pPr>
        <w:jc w:val="both"/>
        <w:rPr>
          <w:rFonts w:ascii="Helvetica" w:hAnsi="Helvetica" w:cs="Arial"/>
          <w:sz w:val="24"/>
          <w:szCs w:val="24"/>
          <w:lang w:val="en-GB"/>
        </w:rPr>
      </w:pPr>
    </w:p>
    <w:p w14:paraId="70E1120A" w14:textId="77777777" w:rsidR="000C263B" w:rsidRDefault="000C263B" w:rsidP="00FC6314">
      <w:pPr>
        <w:jc w:val="both"/>
        <w:rPr>
          <w:rFonts w:ascii="Helvetica" w:hAnsi="Helvetica" w:cs="Arial"/>
          <w:sz w:val="24"/>
          <w:szCs w:val="24"/>
          <w:lang w:val="en-GB"/>
        </w:rPr>
      </w:pPr>
    </w:p>
    <w:p w14:paraId="4F51E83B" w14:textId="77777777" w:rsidR="000C263B" w:rsidRDefault="000C263B" w:rsidP="00FC6314">
      <w:pPr>
        <w:jc w:val="both"/>
        <w:rPr>
          <w:rFonts w:ascii="Helvetica" w:hAnsi="Helvetica" w:cs="Arial"/>
          <w:sz w:val="24"/>
          <w:szCs w:val="24"/>
          <w:lang w:val="en-GB"/>
        </w:rPr>
      </w:pPr>
    </w:p>
    <w:p w14:paraId="0193A715" w14:textId="77777777" w:rsidR="000C263B" w:rsidRDefault="000C263B" w:rsidP="00FC6314">
      <w:pPr>
        <w:jc w:val="both"/>
        <w:rPr>
          <w:rFonts w:ascii="Helvetica" w:hAnsi="Helvetica" w:cs="Arial"/>
          <w:sz w:val="24"/>
          <w:szCs w:val="24"/>
          <w:lang w:val="en-GB"/>
        </w:rPr>
      </w:pPr>
    </w:p>
    <w:p w14:paraId="1F25954F" w14:textId="77777777" w:rsidR="000C263B" w:rsidRDefault="000C263B" w:rsidP="00FC6314">
      <w:pPr>
        <w:jc w:val="both"/>
        <w:rPr>
          <w:rFonts w:ascii="Helvetica" w:hAnsi="Helvetica" w:cs="Arial"/>
          <w:sz w:val="24"/>
          <w:szCs w:val="24"/>
          <w:lang w:val="en-GB"/>
        </w:rPr>
      </w:pPr>
    </w:p>
    <w:p w14:paraId="763D5C1B" w14:textId="77777777" w:rsidR="000C263B" w:rsidRDefault="000C263B" w:rsidP="00FC6314">
      <w:pPr>
        <w:jc w:val="both"/>
        <w:rPr>
          <w:rFonts w:ascii="Helvetica" w:hAnsi="Helvetica" w:cs="Arial"/>
          <w:sz w:val="24"/>
          <w:szCs w:val="24"/>
          <w:lang w:val="en-GB"/>
        </w:rPr>
      </w:pPr>
    </w:p>
    <w:p w14:paraId="3F8D17EC" w14:textId="77777777" w:rsidR="000C263B" w:rsidRDefault="000C263B" w:rsidP="00FC6314">
      <w:pPr>
        <w:jc w:val="both"/>
        <w:rPr>
          <w:rFonts w:ascii="Helvetica" w:hAnsi="Helvetica" w:cs="Arial"/>
          <w:sz w:val="24"/>
          <w:szCs w:val="24"/>
          <w:lang w:val="en-GB"/>
        </w:rPr>
      </w:pPr>
    </w:p>
    <w:p w14:paraId="5D143D41" w14:textId="77777777" w:rsidR="000C263B" w:rsidRDefault="000C263B" w:rsidP="00FC6314">
      <w:pPr>
        <w:jc w:val="both"/>
        <w:rPr>
          <w:rFonts w:ascii="Helvetica" w:hAnsi="Helvetica" w:cs="Arial"/>
          <w:sz w:val="24"/>
          <w:szCs w:val="24"/>
          <w:lang w:val="en-GB"/>
        </w:rPr>
      </w:pPr>
    </w:p>
    <w:p w14:paraId="568D0998" w14:textId="77777777" w:rsidR="000C263B" w:rsidRPr="00BE22CE" w:rsidRDefault="000C263B" w:rsidP="00FC6314">
      <w:pPr>
        <w:jc w:val="both"/>
        <w:rPr>
          <w:rFonts w:ascii="Helvetica" w:hAnsi="Helvetica" w:cs="Arial"/>
          <w:sz w:val="24"/>
          <w:szCs w:val="24"/>
          <w:lang w:val="en-GB"/>
        </w:rPr>
      </w:pPr>
    </w:p>
    <w:p w14:paraId="65A09EC2" w14:textId="7903AB48" w:rsidR="00FC6314" w:rsidRPr="00CA2A47" w:rsidRDefault="00FC6314" w:rsidP="00FC6314">
      <w:pPr>
        <w:jc w:val="both"/>
        <w:rPr>
          <w:rFonts w:ascii="Helvetica" w:hAnsi="Helvetica" w:cs="Calibri"/>
          <w:b/>
          <w:sz w:val="28"/>
          <w:szCs w:val="28"/>
          <w:lang w:val="en-GB"/>
        </w:rPr>
      </w:pPr>
      <w:r w:rsidRPr="00CA2A47">
        <w:rPr>
          <w:rFonts w:ascii="Helvetica" w:hAnsi="Helvetica" w:cs="Calibri"/>
          <w:b/>
          <w:sz w:val="28"/>
          <w:szCs w:val="28"/>
          <w:lang w:val="en-GB"/>
        </w:rPr>
        <w:lastRenderedPageBreak/>
        <w:t xml:space="preserve">About the European Network on Independent Living </w:t>
      </w:r>
    </w:p>
    <w:p w14:paraId="4F22AFF7" w14:textId="48E6BFA7" w:rsidR="00FC6314" w:rsidRPr="00BE22CE" w:rsidRDefault="00FC6314" w:rsidP="00BE22CE">
      <w:pPr>
        <w:spacing w:line="240" w:lineRule="auto"/>
        <w:jc w:val="both"/>
        <w:rPr>
          <w:rFonts w:ascii="Helvetica" w:hAnsi="Helvetica" w:cs="Calibri"/>
          <w:sz w:val="24"/>
          <w:szCs w:val="24"/>
          <w:lang w:val="en-GB"/>
        </w:rPr>
      </w:pPr>
      <w:r w:rsidRPr="00387671">
        <w:rPr>
          <w:rFonts w:ascii="Helvetica" w:hAnsi="Helvetica" w:cs="Calibri"/>
          <w:sz w:val="24"/>
          <w:szCs w:val="24"/>
          <w:lang w:val="en-GB"/>
        </w:rPr>
        <w:t xml:space="preserve">The European Network on Independent Living (ENIL) is a Europe-wide network of disabled people, with members throughout Europe. ENIL is a forum for all disabled people, Independent Living organisations and their non-disabled allies on the issues of Independent Living. ENIL represents the disability movement for human rights and social inclusion based on solidarity, peer support, deinstitutionalisation, democracy, self-representation, cross disability and self-determination. For more information, see: </w:t>
      </w:r>
      <w:hyperlink r:id="rId22" w:history="1">
        <w:r w:rsidRPr="00FC6314">
          <w:rPr>
            <w:rStyle w:val="Lienhypertexte"/>
            <w:rFonts w:ascii="Helvetica" w:hAnsi="Helvetica" w:cs="Calibri"/>
            <w:color w:val="A5300F" w:themeColor="accent1"/>
            <w:sz w:val="24"/>
            <w:szCs w:val="24"/>
            <w:lang w:val="en-GB"/>
          </w:rPr>
          <w:t>www.enil.eu</w:t>
        </w:r>
      </w:hyperlink>
      <w:r w:rsidRPr="00FC6314">
        <w:rPr>
          <w:rFonts w:ascii="Helvetica" w:hAnsi="Helvetica" w:cs="Calibri"/>
          <w:color w:val="A5300F" w:themeColor="accent1"/>
          <w:sz w:val="24"/>
          <w:szCs w:val="24"/>
          <w:lang w:val="en-GB"/>
        </w:rPr>
        <w:t xml:space="preserve"> </w:t>
      </w:r>
      <w:r w:rsidR="00664217">
        <w:rPr>
          <w:rFonts w:ascii="Helvetica" w:hAnsi="Helvetica" w:cs="Calibri"/>
          <w:sz w:val="24"/>
          <w:szCs w:val="24"/>
          <w:lang w:val="en-GB"/>
        </w:rPr>
        <w:t>Contact person: Rita Crespo Fernandez, Human Rights Officer</w:t>
      </w:r>
    </w:p>
    <w:p w14:paraId="00C56748" w14:textId="77777777" w:rsidR="00FC6314" w:rsidRPr="00387671" w:rsidRDefault="00FC6314" w:rsidP="00FC6314">
      <w:pPr>
        <w:spacing w:before="120"/>
        <w:jc w:val="both"/>
        <w:rPr>
          <w:rFonts w:ascii="Helvetica" w:hAnsi="Helvetica"/>
          <w:sz w:val="24"/>
          <w:szCs w:val="24"/>
          <w:lang w:val="en-GB"/>
        </w:rPr>
      </w:pPr>
      <w:r w:rsidRPr="00387671">
        <w:rPr>
          <w:rFonts w:ascii="Helvetica" w:hAnsi="Helvetica"/>
          <w:noProof/>
          <w:sz w:val="24"/>
          <w:szCs w:val="24"/>
          <w:lang w:val="en-GB" w:eastAsia="el-GR"/>
        </w:rPr>
        <w:drawing>
          <wp:inline distT="0" distB="0" distL="0" distR="0" wp14:anchorId="21C86F11" wp14:editId="2159B0D0">
            <wp:extent cx="2486546" cy="519675"/>
            <wp:effectExtent l="19050" t="0" r="9004" b="0"/>
            <wp:docPr id="5" name="Picture 18"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r w:rsidRPr="00387671">
        <w:rPr>
          <w:rFonts w:ascii="Helvetica" w:hAnsi="Helvetica"/>
          <w:noProof/>
          <w:sz w:val="24"/>
          <w:szCs w:val="24"/>
          <w:lang w:val="en-GB" w:eastAsia="el-GR"/>
        </w:rPr>
        <w:drawing>
          <wp:inline distT="0" distB="0" distL="0" distR="0" wp14:anchorId="08E0DE4A" wp14:editId="35BC79FD">
            <wp:extent cx="2701477" cy="636104"/>
            <wp:effectExtent l="19050" t="0" r="3623" b="0"/>
            <wp:docPr id="7" name="Picture 6"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and black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2910" cy="652924"/>
                    </a:xfrm>
                    <a:prstGeom prst="rect">
                      <a:avLst/>
                    </a:prstGeom>
                  </pic:spPr>
                </pic:pic>
              </a:graphicData>
            </a:graphic>
          </wp:inline>
        </w:drawing>
      </w:r>
    </w:p>
    <w:p w14:paraId="60F91C86" w14:textId="6ABD747B" w:rsidR="008E7481" w:rsidRPr="00C53612" w:rsidRDefault="00FC6314" w:rsidP="00FC6314">
      <w:pPr>
        <w:spacing w:after="186" w:line="251" w:lineRule="auto"/>
        <w:ind w:left="-3" w:hanging="10"/>
        <w:jc w:val="both"/>
        <w:rPr>
          <w:rFonts w:ascii="Helvetica" w:hAnsi="Helvetica"/>
          <w:sz w:val="28"/>
          <w:szCs w:val="28"/>
          <w:lang w:val="en-GB"/>
        </w:rPr>
      </w:pPr>
      <w:r w:rsidRPr="00387671">
        <w:rPr>
          <w:rFonts w:ascii="Helvetica" w:hAnsi="Helvetica" w:cs="Calibri"/>
          <w:sz w:val="24"/>
          <w:szCs w:val="24"/>
          <w:lang w:val="en-GB"/>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sectPr w:rsidR="008E7481" w:rsidRPr="00C53612" w:rsidSect="00B722DE">
      <w:headerReference w:type="even" r:id="rId25"/>
      <w:headerReference w:type="default" r:id="rId26"/>
      <w:footerReference w:type="even" r:id="rId27"/>
      <w:footerReference w:type="default" r:id="rId2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6877B" w14:textId="77777777" w:rsidR="00056FB8" w:rsidRDefault="00056FB8" w:rsidP="001B2731">
      <w:r>
        <w:separator/>
      </w:r>
    </w:p>
  </w:endnote>
  <w:endnote w:type="continuationSeparator" w:id="0">
    <w:p w14:paraId="77C7BD92" w14:textId="77777777" w:rsidR="00056FB8" w:rsidRDefault="00056FB8"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384676626"/>
      <w:docPartObj>
        <w:docPartGallery w:val="Page Numbers (Bottom of Page)"/>
        <w:docPartUnique/>
      </w:docPartObj>
    </w:sdtPr>
    <w:sdtContent>
      <w:p w14:paraId="2DEC5A10" w14:textId="64EC1266" w:rsidR="00211109" w:rsidRDefault="0021110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FF7305" w14:textId="77777777" w:rsidR="00211109" w:rsidRDefault="00211109" w:rsidP="0021110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Arial" w:hAnsi="Arial" w:cs="Arial"/>
        <w:sz w:val="24"/>
        <w:szCs w:val="24"/>
      </w:rPr>
      <w:id w:val="-478071221"/>
      <w:docPartObj>
        <w:docPartGallery w:val="Page Numbers (Bottom of Page)"/>
        <w:docPartUnique/>
      </w:docPartObj>
    </w:sdtPr>
    <w:sdtContent>
      <w:p w14:paraId="6436A46D" w14:textId="4676578F" w:rsidR="00211109" w:rsidRPr="00E976BA" w:rsidRDefault="00211109">
        <w:pPr>
          <w:pStyle w:val="Pieddepage"/>
          <w:framePr w:wrap="none" w:vAnchor="text" w:hAnchor="margin" w:xAlign="right" w:y="1"/>
          <w:rPr>
            <w:rStyle w:val="Numrodepage"/>
            <w:rFonts w:ascii="Arial" w:hAnsi="Arial" w:cs="Arial"/>
            <w:sz w:val="24"/>
            <w:szCs w:val="24"/>
          </w:rPr>
        </w:pPr>
        <w:r w:rsidRPr="00E976BA">
          <w:rPr>
            <w:rStyle w:val="Numrodepage"/>
            <w:rFonts w:ascii="Arial" w:hAnsi="Arial" w:cs="Arial"/>
            <w:sz w:val="24"/>
            <w:szCs w:val="24"/>
          </w:rPr>
          <w:fldChar w:fldCharType="begin"/>
        </w:r>
        <w:r w:rsidRPr="00E976BA">
          <w:rPr>
            <w:rStyle w:val="Numrodepage"/>
            <w:rFonts w:ascii="Arial" w:hAnsi="Arial" w:cs="Arial"/>
            <w:sz w:val="24"/>
            <w:szCs w:val="24"/>
          </w:rPr>
          <w:instrText xml:space="preserve"> PAGE </w:instrText>
        </w:r>
        <w:r w:rsidRPr="00E976BA">
          <w:rPr>
            <w:rStyle w:val="Numrodepage"/>
            <w:rFonts w:ascii="Arial" w:hAnsi="Arial" w:cs="Arial"/>
            <w:sz w:val="24"/>
            <w:szCs w:val="24"/>
          </w:rPr>
          <w:fldChar w:fldCharType="separate"/>
        </w:r>
        <w:r w:rsidRPr="00E976BA">
          <w:rPr>
            <w:rStyle w:val="Numrodepage"/>
            <w:rFonts w:ascii="Arial" w:hAnsi="Arial" w:cs="Arial"/>
            <w:noProof/>
            <w:sz w:val="24"/>
            <w:szCs w:val="24"/>
          </w:rPr>
          <w:t>2</w:t>
        </w:r>
        <w:r w:rsidRPr="00E976BA">
          <w:rPr>
            <w:rStyle w:val="Numrodepage"/>
            <w:rFonts w:ascii="Arial" w:hAnsi="Arial" w:cs="Arial"/>
            <w:sz w:val="24"/>
            <w:szCs w:val="24"/>
          </w:rPr>
          <w:fldChar w:fldCharType="end"/>
        </w:r>
      </w:p>
    </w:sdtContent>
  </w:sdt>
  <w:p w14:paraId="5959C710" w14:textId="77777777" w:rsidR="00211109" w:rsidRDefault="00211109" w:rsidP="0021110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7A377" w14:textId="77777777" w:rsidR="00056FB8" w:rsidRDefault="00056FB8" w:rsidP="001B2731">
      <w:r>
        <w:separator/>
      </w:r>
    </w:p>
  </w:footnote>
  <w:footnote w:type="continuationSeparator" w:id="0">
    <w:p w14:paraId="6A8C6832" w14:textId="77777777" w:rsidR="00056FB8" w:rsidRDefault="00056FB8" w:rsidP="001B2731">
      <w:r>
        <w:continuationSeparator/>
      </w:r>
    </w:p>
  </w:footnote>
  <w:footnote w:id="1">
    <w:p w14:paraId="57897530" w14:textId="77777777" w:rsidR="00C96AA9" w:rsidRPr="0021265B" w:rsidRDefault="00C96AA9" w:rsidP="00C96AA9">
      <w:pPr>
        <w:pStyle w:val="Notedebasdepage"/>
        <w:rPr>
          <w:lang w:val="en-US"/>
        </w:rPr>
      </w:pPr>
      <w:r>
        <w:rPr>
          <w:rStyle w:val="Appelnotedebasdep"/>
        </w:rPr>
        <w:footnoteRef/>
      </w:r>
      <w:r w:rsidRPr="0021265B">
        <w:rPr>
          <w:lang w:val="en-US"/>
        </w:rPr>
        <w:t xml:space="preserve"> Further information </w:t>
      </w:r>
      <w:r>
        <w:rPr>
          <w:lang w:val="en-US"/>
        </w:rPr>
        <w:t>available</w:t>
      </w:r>
      <w:r w:rsidRPr="0021265B">
        <w:rPr>
          <w:lang w:val="en-US"/>
        </w:rPr>
        <w:t xml:space="preserve"> at </w:t>
      </w:r>
      <w:hyperlink r:id="rId1" w:history="1">
        <w:r w:rsidRPr="0021265B">
          <w:rPr>
            <w:rStyle w:val="Lienhypertexte"/>
            <w:lang w:val="en-US"/>
          </w:rPr>
          <w:t>Funding - ENIL</w:t>
        </w:r>
      </w:hyperlink>
    </w:p>
  </w:footnote>
  <w:footnote w:id="2">
    <w:p w14:paraId="4F618D66" w14:textId="77777777" w:rsidR="00C96AA9" w:rsidRPr="00190B12" w:rsidRDefault="00C96AA9" w:rsidP="00C96AA9">
      <w:pPr>
        <w:pStyle w:val="Notedebasdepage"/>
        <w:rPr>
          <w:lang w:val="en-US"/>
        </w:rPr>
      </w:pPr>
      <w:r>
        <w:rPr>
          <w:rStyle w:val="Appelnotedebasdep"/>
        </w:rPr>
        <w:footnoteRef/>
      </w:r>
      <w:r w:rsidRPr="00190B12">
        <w:rPr>
          <w:lang w:val="en-US"/>
        </w:rPr>
        <w:t xml:space="preserve"> A/HRC/52/32/Add.1: Visit to the European Union - Report of the Special Rapporteur on the rights of persons with disabilities</w:t>
      </w:r>
      <w:r>
        <w:rPr>
          <w:lang w:val="en-US"/>
        </w:rPr>
        <w:t xml:space="preserve">, available at </w:t>
      </w:r>
      <w:hyperlink r:id="rId2" w:history="1">
        <w:r w:rsidRPr="00F43C65">
          <w:rPr>
            <w:rStyle w:val="Lienhypertexte"/>
            <w:lang w:val="en-US"/>
          </w:rPr>
          <w:t>A/HRC/52/32/Add.1: Visit to the European Union - Report of the Special Rapporteur on the rights of persons with disabilities | OHCHR</w:t>
        </w:r>
      </w:hyperlink>
    </w:p>
  </w:footnote>
  <w:footnote w:id="3">
    <w:p w14:paraId="72C59902" w14:textId="77777777" w:rsidR="00874679" w:rsidRPr="00C421C3" w:rsidRDefault="00874679" w:rsidP="00874679">
      <w:pPr>
        <w:pStyle w:val="Notedebasdepage"/>
        <w:rPr>
          <w:lang w:val="en-US"/>
        </w:rPr>
      </w:pPr>
      <w:r>
        <w:rPr>
          <w:rStyle w:val="Appelnotedebasdep"/>
        </w:rPr>
        <w:footnoteRef/>
      </w:r>
      <w:r w:rsidRPr="00C421C3">
        <w:rPr>
          <w:lang w:val="en-US"/>
        </w:rPr>
        <w:t xml:space="preserve"> </w:t>
      </w:r>
      <w:r>
        <w:rPr>
          <w:lang w:val="en-US"/>
        </w:rPr>
        <w:t>Paragraph 24</w:t>
      </w:r>
    </w:p>
  </w:footnote>
  <w:footnote w:id="4">
    <w:p w14:paraId="218BE2D5" w14:textId="77777777" w:rsidR="00874679" w:rsidRPr="006C64BF" w:rsidRDefault="00874679" w:rsidP="00874679">
      <w:pPr>
        <w:pStyle w:val="Notedebasdepage"/>
        <w:rPr>
          <w:lang w:val="en-US"/>
        </w:rPr>
      </w:pPr>
      <w:r>
        <w:rPr>
          <w:rStyle w:val="Appelnotedebasdep"/>
        </w:rPr>
        <w:footnoteRef/>
      </w:r>
      <w:r w:rsidRPr="006C64BF">
        <w:rPr>
          <w:lang w:val="en-US"/>
        </w:rPr>
        <w:t xml:space="preserve"> </w:t>
      </w:r>
      <w:r>
        <w:rPr>
          <w:lang w:val="en-US"/>
        </w:rPr>
        <w:t xml:space="preserve">Further information available at </w:t>
      </w:r>
      <w:hyperlink r:id="rId3" w:history="1">
        <w:r w:rsidRPr="000126D5">
          <w:rPr>
            <w:rStyle w:val="Lienhypertexte"/>
            <w:lang w:val="en-US"/>
          </w:rPr>
          <w:t>Explainer_DI_October23-ENIL</w:t>
        </w:r>
      </w:hyperlink>
    </w:p>
  </w:footnote>
  <w:footnote w:id="5">
    <w:p w14:paraId="0E89B7A9" w14:textId="77777777" w:rsidR="00874679" w:rsidRPr="00011FD2" w:rsidRDefault="00874679" w:rsidP="00874679">
      <w:pPr>
        <w:pStyle w:val="Notedebasdepage"/>
        <w:rPr>
          <w:lang w:val="en-US"/>
        </w:rPr>
      </w:pPr>
      <w:r>
        <w:rPr>
          <w:rStyle w:val="Appelnotedebasdep"/>
        </w:rPr>
        <w:footnoteRef/>
      </w:r>
      <w:r w:rsidRPr="00011FD2">
        <w:rPr>
          <w:lang w:val="en-US"/>
        </w:rPr>
        <w:t xml:space="preserve"> </w:t>
      </w:r>
      <w:r>
        <w:rPr>
          <w:lang w:val="en-US"/>
        </w:rPr>
        <w:t xml:space="preserve">Committee on the Rights of Persons with Disabilities (2020). </w:t>
      </w:r>
      <w:r w:rsidRPr="0069560B">
        <w:rPr>
          <w:i/>
          <w:iCs w:val="0"/>
          <w:lang w:val="en-US"/>
        </w:rPr>
        <w:t>Inquiry concerning Hungary under article 6 of the Optional Protocol to the Convention</w:t>
      </w:r>
      <w:r>
        <w:rPr>
          <w:lang w:val="en-US"/>
        </w:rPr>
        <w:t xml:space="preserve">, available at </w:t>
      </w:r>
      <w:hyperlink r:id="rId4" w:history="1">
        <w:r w:rsidRPr="0069560B">
          <w:rPr>
            <w:rStyle w:val="Lienhypertexte"/>
            <w:lang w:val="en-US"/>
          </w:rPr>
          <w:t>Inquiry concerning Hungary under article 6 of the Optional Protocol to the Convention :</w:t>
        </w:r>
      </w:hyperlink>
    </w:p>
  </w:footnote>
  <w:footnote w:id="6">
    <w:p w14:paraId="05779AF3" w14:textId="77777777" w:rsidR="00367175" w:rsidRPr="009E2D06" w:rsidRDefault="00367175" w:rsidP="00367175">
      <w:pPr>
        <w:pStyle w:val="Notedebasdepage"/>
        <w:rPr>
          <w:lang w:val="en-US"/>
        </w:rPr>
      </w:pPr>
      <w:r>
        <w:rPr>
          <w:rStyle w:val="Appelnotedebasdep"/>
        </w:rPr>
        <w:footnoteRef/>
      </w:r>
      <w:r w:rsidRPr="008A015E">
        <w:rPr>
          <w:lang w:val="en-US"/>
        </w:rPr>
        <w:t xml:space="preserve"> Ruckdeschel &amp; Co. and Hansa-Lagehaus Stroh &amp; Co. V Hauptzollamt Hamburg-St. Annen [1977] ECR 1753 at para. </w:t>
      </w:r>
      <w:r w:rsidRPr="009E2D06">
        <w:rPr>
          <w:lang w:val="en-US"/>
        </w:rPr>
        <w:t>16-17</w:t>
      </w:r>
    </w:p>
  </w:footnote>
  <w:footnote w:id="7">
    <w:p w14:paraId="5880026B" w14:textId="77777777" w:rsidR="00367175" w:rsidRPr="00681597" w:rsidRDefault="00367175" w:rsidP="00367175">
      <w:pPr>
        <w:pStyle w:val="Notedebasdepage"/>
        <w:rPr>
          <w:lang w:val="en-US"/>
        </w:rPr>
      </w:pPr>
      <w:r>
        <w:rPr>
          <w:rStyle w:val="Appelnotedebasdep"/>
        </w:rPr>
        <w:footnoteRef/>
      </w:r>
      <w:r w:rsidRPr="00681597">
        <w:rPr>
          <w:lang w:val="en-US"/>
        </w:rPr>
        <w:t xml:space="preserve"> </w:t>
      </w:r>
      <w:r>
        <w:rPr>
          <w:lang w:val="en-US"/>
        </w:rPr>
        <w:t xml:space="preserve">Fundamental Rights Agency (2018). </w:t>
      </w:r>
      <w:r w:rsidRPr="007F713D">
        <w:rPr>
          <w:i/>
          <w:iCs w:val="0"/>
          <w:lang w:val="en-US"/>
        </w:rPr>
        <w:t>Handbook on European Non Discrimination Law</w:t>
      </w:r>
      <w:r>
        <w:rPr>
          <w:lang w:val="en-US"/>
        </w:rPr>
        <w:t xml:space="preserve">, available at </w:t>
      </w:r>
      <w:hyperlink r:id="rId5" w:history="1">
        <w:r w:rsidRPr="007F713D">
          <w:rPr>
            <w:rStyle w:val="Lienhypertexte"/>
            <w:lang w:val="en-US"/>
          </w:rPr>
          <w:t>Handbook on European non-discrimination law – 2018 edition | European Union Agency for Fundamental Rights</w:t>
        </w:r>
      </w:hyperlink>
    </w:p>
  </w:footnote>
  <w:footnote w:id="8">
    <w:p w14:paraId="41E9962D" w14:textId="77777777" w:rsidR="00367175" w:rsidRPr="006257DE" w:rsidRDefault="00367175" w:rsidP="00367175">
      <w:pPr>
        <w:pStyle w:val="Notedebasdepage"/>
        <w:rPr>
          <w:lang w:val="en-US"/>
        </w:rPr>
      </w:pPr>
      <w:r>
        <w:rPr>
          <w:rStyle w:val="Appelnotedebasdep"/>
        </w:rPr>
        <w:footnoteRef/>
      </w:r>
      <w:r w:rsidRPr="006257DE">
        <w:rPr>
          <w:lang w:val="en-US"/>
        </w:rPr>
        <w:t xml:space="preserve"> HK Danmark, acting on behalf of Jette Ring v Dansk almennyttigt Boligselskab (C</w:t>
      </w:r>
      <w:r w:rsidRPr="006257DE">
        <w:rPr>
          <w:rFonts w:ascii="Cambria Math" w:hAnsi="Cambria Math" w:cs="Cambria Math"/>
          <w:lang w:val="en-US"/>
        </w:rPr>
        <w:t>‑</w:t>
      </w:r>
      <w:r w:rsidRPr="006257DE">
        <w:rPr>
          <w:lang w:val="en-US"/>
        </w:rPr>
        <w:t xml:space="preserve">335/11) and HK Danmark, acting on behalf of Lone Skouboe Werge v Dansk Arbejdsgiverforening, acting on behalf of Pro Display A/S </w:t>
      </w:r>
      <w:r w:rsidRPr="008A015E">
        <w:rPr>
          <w:lang w:val="en-US"/>
        </w:rPr>
        <w:t>[</w:t>
      </w:r>
      <w:r>
        <w:rPr>
          <w:lang w:val="en-US"/>
        </w:rPr>
        <w:t>2013</w:t>
      </w:r>
      <w:r w:rsidRPr="008A015E">
        <w:rPr>
          <w:lang w:val="en-US"/>
        </w:rPr>
        <w:t xml:space="preserve">] </w:t>
      </w:r>
      <w:r w:rsidRPr="006257DE">
        <w:rPr>
          <w:lang w:val="en-US"/>
        </w:rPr>
        <w:t>(C</w:t>
      </w:r>
      <w:r w:rsidRPr="006257DE">
        <w:rPr>
          <w:rFonts w:ascii="Cambria Math" w:hAnsi="Cambria Math" w:cs="Cambria Math"/>
          <w:lang w:val="en-US"/>
        </w:rPr>
        <w:t>‑</w:t>
      </w:r>
      <w:r w:rsidRPr="006257DE">
        <w:rPr>
          <w:lang w:val="en-US"/>
        </w:rPr>
        <w:t>337/11)</w:t>
      </w:r>
      <w:r>
        <w:rPr>
          <w:lang w:val="en-US"/>
        </w:rPr>
        <w:t xml:space="preserve"> para. 29</w:t>
      </w:r>
    </w:p>
  </w:footnote>
  <w:footnote w:id="9">
    <w:p w14:paraId="5D976F6B" w14:textId="77777777" w:rsidR="009F4AC4" w:rsidRPr="002A2D6A" w:rsidRDefault="009F4AC4" w:rsidP="009F4AC4">
      <w:pPr>
        <w:pStyle w:val="Notedebasdepage"/>
        <w:rPr>
          <w:lang w:val="en-US"/>
        </w:rPr>
      </w:pPr>
      <w:r>
        <w:rPr>
          <w:rStyle w:val="Appelnotedebasdep"/>
        </w:rPr>
        <w:footnoteRef/>
      </w:r>
      <w:r w:rsidRPr="002A2D6A">
        <w:rPr>
          <w:lang w:val="en-US"/>
        </w:rPr>
        <w:t xml:space="preserve"> </w:t>
      </w:r>
      <w:r>
        <w:rPr>
          <w:lang w:val="en-US"/>
        </w:rPr>
        <w:t xml:space="preserve">To learn more about personal assistance, read our joint report with the International Labour Organisation (2024) available at </w:t>
      </w:r>
      <w:hyperlink r:id="rId6" w:history="1">
        <w:r w:rsidRPr="00B80538">
          <w:rPr>
            <w:rStyle w:val="Lienhypertexte"/>
            <w:lang w:val="en-US"/>
          </w:rPr>
          <w:t>Towards Dignity and Autonomy: A Comprehensive Look at Personal Assistance Policies for Persons with Disabilities Worldwide</w:t>
        </w:r>
      </w:hyperlink>
      <w:r>
        <w:rPr>
          <w:lang w:val="en-US"/>
        </w:rPr>
        <w:t xml:space="preserve">, and our Personal Assistance Checklist (2019) available at </w:t>
      </w:r>
      <w:hyperlink r:id="rId7" w:history="1">
        <w:r w:rsidRPr="00B80538">
          <w:rPr>
            <w:rStyle w:val="Lienhypertexte"/>
            <w:lang w:val="en-US"/>
          </w:rPr>
          <w:t>Mladenov_Pokern_Bulic-PA_Checklist.pdf</w:t>
        </w:r>
      </w:hyperlink>
    </w:p>
  </w:footnote>
  <w:footnote w:id="10">
    <w:p w14:paraId="73ABC660" w14:textId="77777777" w:rsidR="00C8082E" w:rsidRPr="009E2D06" w:rsidRDefault="00C8082E" w:rsidP="00C8082E">
      <w:pPr>
        <w:pStyle w:val="Notedebasdepage"/>
        <w:rPr>
          <w:lang w:val="en-US"/>
        </w:rPr>
      </w:pPr>
      <w:r>
        <w:rPr>
          <w:rStyle w:val="Appelnotedebasdep"/>
        </w:rPr>
        <w:footnoteRef/>
      </w:r>
      <w:r w:rsidRPr="009E2D06">
        <w:rPr>
          <w:lang w:val="en-US"/>
        </w:rPr>
        <w:t xml:space="preserve"> </w:t>
      </w:r>
      <w:r>
        <w:rPr>
          <w:lang w:val="en-US"/>
        </w:rPr>
        <w:t xml:space="preserve">Further information available at </w:t>
      </w:r>
      <w:hyperlink r:id="rId8" w:history="1">
        <w:r w:rsidRPr="009E2D06">
          <w:rPr>
            <w:rStyle w:val="Lienhypertexte"/>
            <w:lang w:val="en-US"/>
          </w:rPr>
          <w:t>Funding - ENIL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3011E" w14:textId="77777777" w:rsidR="00B722DE" w:rsidRDefault="00B722DE">
    <w:pPr>
      <w:pStyle w:val="En-tte"/>
      <w:framePr w:wrap="none"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end"/>
    </w:r>
  </w:p>
  <w:p w14:paraId="2CE1065D" w14:textId="77777777" w:rsidR="00B722DE" w:rsidRDefault="00B722DE" w:rsidP="00B722DE">
    <w:pPr>
      <w:pStyle w:val="En-tte"/>
      <w:framePr w:wrap="none" w:vAnchor="text" w:hAnchor="margin" w:y="1"/>
      <w:ind w:right="360" w:firstLine="360"/>
      <w:rPr>
        <w:rStyle w:val="Numrodepage"/>
      </w:rPr>
    </w:pPr>
    <w:r>
      <w:rPr>
        <w:rStyle w:val="Numrodepage"/>
      </w:rPr>
      <w:fldChar w:fldCharType="begin"/>
    </w:r>
    <w:r>
      <w:rPr>
        <w:rStyle w:val="Numrodepage"/>
      </w:rPr>
      <w:instrText xml:space="preserve">PAGE  </w:instrText>
    </w:r>
    <w:r>
      <w:rPr>
        <w:rStyle w:val="Numrodepage"/>
      </w:rPr>
      <w:fldChar w:fldCharType="end"/>
    </w:r>
  </w:p>
  <w:p w14:paraId="03DC95BC" w14:textId="77777777" w:rsidR="007A0025" w:rsidRDefault="007A0025" w:rsidP="00B722DE">
    <w:pPr>
      <w:pStyle w:val="En-tt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8D5A9" w14:textId="77777777" w:rsidR="007A0025" w:rsidRDefault="007A0025" w:rsidP="00B722DE">
    <w:pPr>
      <w:pStyle w:val="En-tt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2E6B"/>
    <w:multiLevelType w:val="hybridMultilevel"/>
    <w:tmpl w:val="062E63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B72072"/>
    <w:multiLevelType w:val="hybridMultilevel"/>
    <w:tmpl w:val="CCBE3F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1F62C3"/>
    <w:multiLevelType w:val="hybridMultilevel"/>
    <w:tmpl w:val="5E84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41423"/>
    <w:multiLevelType w:val="hybridMultilevel"/>
    <w:tmpl w:val="88ACA4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8EA30D8"/>
    <w:multiLevelType w:val="hybridMultilevel"/>
    <w:tmpl w:val="2344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818B7"/>
    <w:multiLevelType w:val="hybridMultilevel"/>
    <w:tmpl w:val="D7660F9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0FDB0738"/>
    <w:multiLevelType w:val="hybridMultilevel"/>
    <w:tmpl w:val="63CAB5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C5D4924"/>
    <w:multiLevelType w:val="hybridMultilevel"/>
    <w:tmpl w:val="5F98E4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42DB9"/>
    <w:multiLevelType w:val="hybridMultilevel"/>
    <w:tmpl w:val="AC7CBE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0F6163A"/>
    <w:multiLevelType w:val="hybridMultilevel"/>
    <w:tmpl w:val="ADA4FC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525DA7"/>
    <w:multiLevelType w:val="hybridMultilevel"/>
    <w:tmpl w:val="14AC6D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34E74C4C"/>
    <w:multiLevelType w:val="hybridMultilevel"/>
    <w:tmpl w:val="9F700E82"/>
    <w:lvl w:ilvl="0" w:tplc="08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3A0F019F"/>
    <w:multiLevelType w:val="hybridMultilevel"/>
    <w:tmpl w:val="C434AA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C0A012C"/>
    <w:multiLevelType w:val="hybridMultilevel"/>
    <w:tmpl w:val="D8167C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1C4890"/>
    <w:multiLevelType w:val="hybridMultilevel"/>
    <w:tmpl w:val="7F2AE7EC"/>
    <w:lvl w:ilvl="0" w:tplc="BC7A4376">
      <w:numFmt w:val="bullet"/>
      <w:lvlText w:val="•"/>
      <w:lvlJc w:val="left"/>
      <w:pPr>
        <w:ind w:left="1070" w:hanging="71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4164262"/>
    <w:multiLevelType w:val="hybridMultilevel"/>
    <w:tmpl w:val="A4D4DE5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7FE2B4E"/>
    <w:multiLevelType w:val="hybridMultilevel"/>
    <w:tmpl w:val="2B34D628"/>
    <w:lvl w:ilvl="0" w:tplc="4C8877C8">
      <w:start w:val="1"/>
      <w:numFmt w:val="decimal"/>
      <w:lvlText w:val="%1."/>
      <w:lvlJc w:val="left"/>
      <w:pPr>
        <w:ind w:left="3196" w:hanging="360"/>
      </w:pPr>
      <w:rPr>
        <w:rFonts w:hint="default"/>
      </w:rPr>
    </w:lvl>
    <w:lvl w:ilvl="1" w:tplc="080C0019" w:tentative="1">
      <w:start w:val="1"/>
      <w:numFmt w:val="lowerLetter"/>
      <w:lvlText w:val="%2."/>
      <w:lvlJc w:val="left"/>
      <w:pPr>
        <w:ind w:left="3916" w:hanging="360"/>
      </w:pPr>
    </w:lvl>
    <w:lvl w:ilvl="2" w:tplc="080C001B" w:tentative="1">
      <w:start w:val="1"/>
      <w:numFmt w:val="lowerRoman"/>
      <w:lvlText w:val="%3."/>
      <w:lvlJc w:val="right"/>
      <w:pPr>
        <w:ind w:left="4636" w:hanging="180"/>
      </w:pPr>
    </w:lvl>
    <w:lvl w:ilvl="3" w:tplc="080C000F" w:tentative="1">
      <w:start w:val="1"/>
      <w:numFmt w:val="decimal"/>
      <w:lvlText w:val="%4."/>
      <w:lvlJc w:val="left"/>
      <w:pPr>
        <w:ind w:left="5356" w:hanging="360"/>
      </w:pPr>
    </w:lvl>
    <w:lvl w:ilvl="4" w:tplc="080C0019" w:tentative="1">
      <w:start w:val="1"/>
      <w:numFmt w:val="lowerLetter"/>
      <w:lvlText w:val="%5."/>
      <w:lvlJc w:val="left"/>
      <w:pPr>
        <w:ind w:left="6076" w:hanging="360"/>
      </w:pPr>
    </w:lvl>
    <w:lvl w:ilvl="5" w:tplc="080C001B" w:tentative="1">
      <w:start w:val="1"/>
      <w:numFmt w:val="lowerRoman"/>
      <w:lvlText w:val="%6."/>
      <w:lvlJc w:val="right"/>
      <w:pPr>
        <w:ind w:left="6796" w:hanging="180"/>
      </w:pPr>
    </w:lvl>
    <w:lvl w:ilvl="6" w:tplc="080C000F" w:tentative="1">
      <w:start w:val="1"/>
      <w:numFmt w:val="decimal"/>
      <w:lvlText w:val="%7."/>
      <w:lvlJc w:val="left"/>
      <w:pPr>
        <w:ind w:left="7516" w:hanging="360"/>
      </w:pPr>
    </w:lvl>
    <w:lvl w:ilvl="7" w:tplc="080C0019" w:tentative="1">
      <w:start w:val="1"/>
      <w:numFmt w:val="lowerLetter"/>
      <w:lvlText w:val="%8."/>
      <w:lvlJc w:val="left"/>
      <w:pPr>
        <w:ind w:left="8236" w:hanging="360"/>
      </w:pPr>
    </w:lvl>
    <w:lvl w:ilvl="8" w:tplc="080C001B" w:tentative="1">
      <w:start w:val="1"/>
      <w:numFmt w:val="lowerRoman"/>
      <w:lvlText w:val="%9."/>
      <w:lvlJc w:val="right"/>
      <w:pPr>
        <w:ind w:left="8956" w:hanging="180"/>
      </w:pPr>
    </w:lvl>
  </w:abstractNum>
  <w:abstractNum w:abstractNumId="20" w15:restartNumberingAfterBreak="0">
    <w:nsid w:val="4C2F6C10"/>
    <w:multiLevelType w:val="hybridMultilevel"/>
    <w:tmpl w:val="E63C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62176"/>
    <w:multiLevelType w:val="hybridMultilevel"/>
    <w:tmpl w:val="D310BE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26E079B"/>
    <w:multiLevelType w:val="hybridMultilevel"/>
    <w:tmpl w:val="E1CAC1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6C207C2"/>
    <w:multiLevelType w:val="hybridMultilevel"/>
    <w:tmpl w:val="A10005B8"/>
    <w:lvl w:ilvl="0" w:tplc="080C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7813821"/>
    <w:multiLevelType w:val="hybridMultilevel"/>
    <w:tmpl w:val="02E2EF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835436B"/>
    <w:multiLevelType w:val="hybridMultilevel"/>
    <w:tmpl w:val="5EA8BF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8993147"/>
    <w:multiLevelType w:val="hybridMultilevel"/>
    <w:tmpl w:val="732864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35B68FA"/>
    <w:multiLevelType w:val="hybridMultilevel"/>
    <w:tmpl w:val="39A255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79E661C"/>
    <w:multiLevelType w:val="hybridMultilevel"/>
    <w:tmpl w:val="1180AE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3683D67"/>
    <w:multiLevelType w:val="hybridMultilevel"/>
    <w:tmpl w:val="C94C1F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3FF5691"/>
    <w:multiLevelType w:val="hybridMultilevel"/>
    <w:tmpl w:val="6DF6F6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33B15"/>
    <w:multiLevelType w:val="hybridMultilevel"/>
    <w:tmpl w:val="A694E9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87D1ECB"/>
    <w:multiLevelType w:val="hybridMultilevel"/>
    <w:tmpl w:val="189EBE6C"/>
    <w:lvl w:ilvl="0" w:tplc="3760AE56">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96E3171"/>
    <w:multiLevelType w:val="hybridMultilevel"/>
    <w:tmpl w:val="64D473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D278B"/>
    <w:multiLevelType w:val="hybridMultilevel"/>
    <w:tmpl w:val="F41C65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2475497">
    <w:abstractNumId w:val="23"/>
  </w:num>
  <w:num w:numId="2" w16cid:durableId="1848787289">
    <w:abstractNumId w:val="2"/>
  </w:num>
  <w:num w:numId="3" w16cid:durableId="57480048">
    <w:abstractNumId w:val="18"/>
  </w:num>
  <w:num w:numId="4" w16cid:durableId="396973761">
    <w:abstractNumId w:val="9"/>
  </w:num>
  <w:num w:numId="5" w16cid:durableId="754714185">
    <w:abstractNumId w:val="2"/>
  </w:num>
  <w:num w:numId="6" w16cid:durableId="132873160">
    <w:abstractNumId w:val="32"/>
  </w:num>
  <w:num w:numId="7" w16cid:durableId="1740244899">
    <w:abstractNumId w:val="10"/>
  </w:num>
  <w:num w:numId="8" w16cid:durableId="384985749">
    <w:abstractNumId w:val="37"/>
  </w:num>
  <w:num w:numId="9" w16cid:durableId="467357367">
    <w:abstractNumId w:val="15"/>
  </w:num>
  <w:num w:numId="10" w16cid:durableId="68116039">
    <w:abstractNumId w:val="27"/>
  </w:num>
  <w:num w:numId="11" w16cid:durableId="130757422">
    <w:abstractNumId w:val="12"/>
  </w:num>
  <w:num w:numId="12" w16cid:durableId="680277345">
    <w:abstractNumId w:val="22"/>
  </w:num>
  <w:num w:numId="13" w16cid:durableId="1971788122">
    <w:abstractNumId w:val="17"/>
  </w:num>
  <w:num w:numId="14" w16cid:durableId="1020547021">
    <w:abstractNumId w:val="31"/>
  </w:num>
  <w:num w:numId="15" w16cid:durableId="1127771515">
    <w:abstractNumId w:val="26"/>
  </w:num>
  <w:num w:numId="16" w16cid:durableId="1425036156">
    <w:abstractNumId w:val="7"/>
  </w:num>
  <w:num w:numId="17" w16cid:durableId="192696492">
    <w:abstractNumId w:val="14"/>
  </w:num>
  <w:num w:numId="18" w16cid:durableId="339159893">
    <w:abstractNumId w:val="8"/>
  </w:num>
  <w:num w:numId="19" w16cid:durableId="142553028">
    <w:abstractNumId w:val="21"/>
  </w:num>
  <w:num w:numId="20" w16cid:durableId="731540431">
    <w:abstractNumId w:val="28"/>
  </w:num>
  <w:num w:numId="21" w16cid:durableId="881211138">
    <w:abstractNumId w:val="35"/>
  </w:num>
  <w:num w:numId="22" w16cid:durableId="170723800">
    <w:abstractNumId w:val="33"/>
  </w:num>
  <w:num w:numId="23" w16cid:durableId="1177041153">
    <w:abstractNumId w:val="24"/>
  </w:num>
  <w:num w:numId="24" w16cid:durableId="768047443">
    <w:abstractNumId w:val="0"/>
  </w:num>
  <w:num w:numId="25" w16cid:durableId="1701203352">
    <w:abstractNumId w:val="1"/>
  </w:num>
  <w:num w:numId="26" w16cid:durableId="1321082433">
    <w:abstractNumId w:val="13"/>
  </w:num>
  <w:num w:numId="27" w16cid:durableId="1636257341">
    <w:abstractNumId w:val="11"/>
  </w:num>
  <w:num w:numId="28" w16cid:durableId="711998711">
    <w:abstractNumId w:val="6"/>
  </w:num>
  <w:num w:numId="29" w16cid:durableId="1477992285">
    <w:abstractNumId w:val="19"/>
  </w:num>
  <w:num w:numId="30" w16cid:durableId="1410931643">
    <w:abstractNumId w:val="34"/>
  </w:num>
  <w:num w:numId="31" w16cid:durableId="66464836">
    <w:abstractNumId w:val="25"/>
  </w:num>
  <w:num w:numId="32" w16cid:durableId="450786962">
    <w:abstractNumId w:val="4"/>
  </w:num>
  <w:num w:numId="33" w16cid:durableId="1612544500">
    <w:abstractNumId w:val="29"/>
  </w:num>
  <w:num w:numId="34" w16cid:durableId="866332905">
    <w:abstractNumId w:val="5"/>
  </w:num>
  <w:num w:numId="35" w16cid:durableId="1361008974">
    <w:abstractNumId w:val="19"/>
  </w:num>
  <w:num w:numId="36" w16cid:durableId="1849757409">
    <w:abstractNumId w:val="3"/>
  </w:num>
  <w:num w:numId="37" w16cid:durableId="1862157401">
    <w:abstractNumId w:val="20"/>
  </w:num>
  <w:num w:numId="38" w16cid:durableId="1144815164">
    <w:abstractNumId w:val="36"/>
  </w:num>
  <w:num w:numId="39" w16cid:durableId="59789719">
    <w:abstractNumId w:val="16"/>
  </w:num>
  <w:num w:numId="40" w16cid:durableId="7236797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31"/>
    <w:rsid w:val="00000FED"/>
    <w:rsid w:val="0001608D"/>
    <w:rsid w:val="00016163"/>
    <w:rsid w:val="00017966"/>
    <w:rsid w:val="00020DAE"/>
    <w:rsid w:val="00024B21"/>
    <w:rsid w:val="0002634C"/>
    <w:rsid w:val="00026CEC"/>
    <w:rsid w:val="00031EBA"/>
    <w:rsid w:val="00042731"/>
    <w:rsid w:val="00045983"/>
    <w:rsid w:val="000549FF"/>
    <w:rsid w:val="00055174"/>
    <w:rsid w:val="0005642F"/>
    <w:rsid w:val="00056FB8"/>
    <w:rsid w:val="00063A85"/>
    <w:rsid w:val="00066885"/>
    <w:rsid w:val="000710E8"/>
    <w:rsid w:val="00071643"/>
    <w:rsid w:val="000726BA"/>
    <w:rsid w:val="000734D4"/>
    <w:rsid w:val="0007513C"/>
    <w:rsid w:val="000A15DC"/>
    <w:rsid w:val="000A3008"/>
    <w:rsid w:val="000A44BE"/>
    <w:rsid w:val="000A5E86"/>
    <w:rsid w:val="000A74AE"/>
    <w:rsid w:val="000B1A2E"/>
    <w:rsid w:val="000B3A8B"/>
    <w:rsid w:val="000B671C"/>
    <w:rsid w:val="000B792A"/>
    <w:rsid w:val="000C00BD"/>
    <w:rsid w:val="000C0703"/>
    <w:rsid w:val="000C25D6"/>
    <w:rsid w:val="000C263B"/>
    <w:rsid w:val="000C4D06"/>
    <w:rsid w:val="000C7895"/>
    <w:rsid w:val="000D512B"/>
    <w:rsid w:val="000D5D7A"/>
    <w:rsid w:val="000E329F"/>
    <w:rsid w:val="000E3A00"/>
    <w:rsid w:val="000F70C9"/>
    <w:rsid w:val="000F71A6"/>
    <w:rsid w:val="00100E8C"/>
    <w:rsid w:val="0010387B"/>
    <w:rsid w:val="00110DC6"/>
    <w:rsid w:val="00123DA3"/>
    <w:rsid w:val="00124540"/>
    <w:rsid w:val="0013279C"/>
    <w:rsid w:val="00132BEC"/>
    <w:rsid w:val="00132E11"/>
    <w:rsid w:val="00141466"/>
    <w:rsid w:val="00142CBF"/>
    <w:rsid w:val="001442F4"/>
    <w:rsid w:val="00151AAF"/>
    <w:rsid w:val="00152558"/>
    <w:rsid w:val="00152D53"/>
    <w:rsid w:val="0015348B"/>
    <w:rsid w:val="00153797"/>
    <w:rsid w:val="00156FE1"/>
    <w:rsid w:val="001602A0"/>
    <w:rsid w:val="00161164"/>
    <w:rsid w:val="00163202"/>
    <w:rsid w:val="00164DF3"/>
    <w:rsid w:val="00186AF6"/>
    <w:rsid w:val="001B152B"/>
    <w:rsid w:val="001B2731"/>
    <w:rsid w:val="001B5CFC"/>
    <w:rsid w:val="001C36BD"/>
    <w:rsid w:val="001C4640"/>
    <w:rsid w:val="001D2BB5"/>
    <w:rsid w:val="001D434E"/>
    <w:rsid w:val="001E1607"/>
    <w:rsid w:val="001E6590"/>
    <w:rsid w:val="001F2DC2"/>
    <w:rsid w:val="001F43CC"/>
    <w:rsid w:val="001F6E40"/>
    <w:rsid w:val="001F76C5"/>
    <w:rsid w:val="002029D1"/>
    <w:rsid w:val="0020604A"/>
    <w:rsid w:val="00207693"/>
    <w:rsid w:val="00207A72"/>
    <w:rsid w:val="00211109"/>
    <w:rsid w:val="00214B42"/>
    <w:rsid w:val="00221ACB"/>
    <w:rsid w:val="00224095"/>
    <w:rsid w:val="00224873"/>
    <w:rsid w:val="002431B4"/>
    <w:rsid w:val="0024732B"/>
    <w:rsid w:val="00252BB2"/>
    <w:rsid w:val="0025355D"/>
    <w:rsid w:val="00272505"/>
    <w:rsid w:val="002728F6"/>
    <w:rsid w:val="00274370"/>
    <w:rsid w:val="0027504D"/>
    <w:rsid w:val="00290691"/>
    <w:rsid w:val="00291EB1"/>
    <w:rsid w:val="00292567"/>
    <w:rsid w:val="002932A1"/>
    <w:rsid w:val="002951E7"/>
    <w:rsid w:val="00295F64"/>
    <w:rsid w:val="002A0707"/>
    <w:rsid w:val="002A248E"/>
    <w:rsid w:val="002A666D"/>
    <w:rsid w:val="002B66ED"/>
    <w:rsid w:val="002C25C9"/>
    <w:rsid w:val="002C7D9D"/>
    <w:rsid w:val="002D0A35"/>
    <w:rsid w:val="002D14AA"/>
    <w:rsid w:val="002D2E3D"/>
    <w:rsid w:val="002D5685"/>
    <w:rsid w:val="002E50C8"/>
    <w:rsid w:val="002E6FF4"/>
    <w:rsid w:val="002F435C"/>
    <w:rsid w:val="002F6317"/>
    <w:rsid w:val="002F7431"/>
    <w:rsid w:val="003034F7"/>
    <w:rsid w:val="00304C06"/>
    <w:rsid w:val="003155D2"/>
    <w:rsid w:val="00315936"/>
    <w:rsid w:val="003174E9"/>
    <w:rsid w:val="003175E5"/>
    <w:rsid w:val="003204F4"/>
    <w:rsid w:val="003261C0"/>
    <w:rsid w:val="00326FF3"/>
    <w:rsid w:val="003313DD"/>
    <w:rsid w:val="00340864"/>
    <w:rsid w:val="003470F5"/>
    <w:rsid w:val="00354C60"/>
    <w:rsid w:val="003604BC"/>
    <w:rsid w:val="003631DF"/>
    <w:rsid w:val="0036426D"/>
    <w:rsid w:val="00366FCF"/>
    <w:rsid w:val="00367175"/>
    <w:rsid w:val="003736C7"/>
    <w:rsid w:val="00374E5C"/>
    <w:rsid w:val="00395061"/>
    <w:rsid w:val="00396FF8"/>
    <w:rsid w:val="003A039A"/>
    <w:rsid w:val="003A4F11"/>
    <w:rsid w:val="003A66FE"/>
    <w:rsid w:val="003B31FA"/>
    <w:rsid w:val="003C1944"/>
    <w:rsid w:val="003C312D"/>
    <w:rsid w:val="003C4C45"/>
    <w:rsid w:val="003D296C"/>
    <w:rsid w:val="003D2D59"/>
    <w:rsid w:val="003D4590"/>
    <w:rsid w:val="003D68B5"/>
    <w:rsid w:val="003E0D52"/>
    <w:rsid w:val="003F1B43"/>
    <w:rsid w:val="003F22FF"/>
    <w:rsid w:val="003F4A17"/>
    <w:rsid w:val="003F4DDE"/>
    <w:rsid w:val="003F6961"/>
    <w:rsid w:val="00403B77"/>
    <w:rsid w:val="0040485F"/>
    <w:rsid w:val="00411487"/>
    <w:rsid w:val="00413537"/>
    <w:rsid w:val="00416648"/>
    <w:rsid w:val="00425252"/>
    <w:rsid w:val="0043000F"/>
    <w:rsid w:val="0043433E"/>
    <w:rsid w:val="00434C7C"/>
    <w:rsid w:val="00434F63"/>
    <w:rsid w:val="00436FCB"/>
    <w:rsid w:val="0044063E"/>
    <w:rsid w:val="004436F1"/>
    <w:rsid w:val="00444D4E"/>
    <w:rsid w:val="00446D1D"/>
    <w:rsid w:val="004659F7"/>
    <w:rsid w:val="004664E2"/>
    <w:rsid w:val="004707FA"/>
    <w:rsid w:val="00472EBC"/>
    <w:rsid w:val="00473493"/>
    <w:rsid w:val="00473731"/>
    <w:rsid w:val="004738CB"/>
    <w:rsid w:val="00473B43"/>
    <w:rsid w:val="00477B7C"/>
    <w:rsid w:val="00480CC3"/>
    <w:rsid w:val="00484BB6"/>
    <w:rsid w:val="0048525E"/>
    <w:rsid w:val="00492457"/>
    <w:rsid w:val="004926B8"/>
    <w:rsid w:val="00494E4E"/>
    <w:rsid w:val="00495FD3"/>
    <w:rsid w:val="00497B29"/>
    <w:rsid w:val="004A3A02"/>
    <w:rsid w:val="004A702B"/>
    <w:rsid w:val="004B00BC"/>
    <w:rsid w:val="004B1741"/>
    <w:rsid w:val="004B2925"/>
    <w:rsid w:val="004D519B"/>
    <w:rsid w:val="004E2677"/>
    <w:rsid w:val="004E2E33"/>
    <w:rsid w:val="004E34D8"/>
    <w:rsid w:val="004F4AE9"/>
    <w:rsid w:val="004F4E54"/>
    <w:rsid w:val="004F5916"/>
    <w:rsid w:val="005058B5"/>
    <w:rsid w:val="00507987"/>
    <w:rsid w:val="00511C3D"/>
    <w:rsid w:val="00512CC3"/>
    <w:rsid w:val="00513844"/>
    <w:rsid w:val="005142A8"/>
    <w:rsid w:val="0051612B"/>
    <w:rsid w:val="005211DC"/>
    <w:rsid w:val="005212B8"/>
    <w:rsid w:val="00524B1E"/>
    <w:rsid w:val="00525F1E"/>
    <w:rsid w:val="00530AE0"/>
    <w:rsid w:val="00532A99"/>
    <w:rsid w:val="005400B0"/>
    <w:rsid w:val="00547ABF"/>
    <w:rsid w:val="005564E4"/>
    <w:rsid w:val="00562F5C"/>
    <w:rsid w:val="005657C3"/>
    <w:rsid w:val="00565F74"/>
    <w:rsid w:val="00575C0E"/>
    <w:rsid w:val="005771FC"/>
    <w:rsid w:val="00581C69"/>
    <w:rsid w:val="005821F5"/>
    <w:rsid w:val="0058290F"/>
    <w:rsid w:val="00583D50"/>
    <w:rsid w:val="0058697D"/>
    <w:rsid w:val="00591CF0"/>
    <w:rsid w:val="00595336"/>
    <w:rsid w:val="005B09D7"/>
    <w:rsid w:val="005B0AF9"/>
    <w:rsid w:val="005B1326"/>
    <w:rsid w:val="005B6A86"/>
    <w:rsid w:val="005C025D"/>
    <w:rsid w:val="005E1E9D"/>
    <w:rsid w:val="005E2D1C"/>
    <w:rsid w:val="005E33A0"/>
    <w:rsid w:val="005F27A0"/>
    <w:rsid w:val="005F2AF7"/>
    <w:rsid w:val="005F4E9F"/>
    <w:rsid w:val="006046F4"/>
    <w:rsid w:val="00606333"/>
    <w:rsid w:val="00613E1F"/>
    <w:rsid w:val="0061497E"/>
    <w:rsid w:val="0061498E"/>
    <w:rsid w:val="00615E37"/>
    <w:rsid w:val="00616F2B"/>
    <w:rsid w:val="00624AE6"/>
    <w:rsid w:val="00626A9A"/>
    <w:rsid w:val="0062733D"/>
    <w:rsid w:val="00632013"/>
    <w:rsid w:val="006323B2"/>
    <w:rsid w:val="00642816"/>
    <w:rsid w:val="00644B58"/>
    <w:rsid w:val="00644DA6"/>
    <w:rsid w:val="0065406E"/>
    <w:rsid w:val="006630AB"/>
    <w:rsid w:val="00664217"/>
    <w:rsid w:val="00664598"/>
    <w:rsid w:val="006659A0"/>
    <w:rsid w:val="00670574"/>
    <w:rsid w:val="00671D02"/>
    <w:rsid w:val="00677966"/>
    <w:rsid w:val="00681241"/>
    <w:rsid w:val="00681475"/>
    <w:rsid w:val="00681624"/>
    <w:rsid w:val="0068172A"/>
    <w:rsid w:val="00682146"/>
    <w:rsid w:val="0068300D"/>
    <w:rsid w:val="00685DA9"/>
    <w:rsid w:val="00686082"/>
    <w:rsid w:val="006876F6"/>
    <w:rsid w:val="006957D8"/>
    <w:rsid w:val="006A2C01"/>
    <w:rsid w:val="006A443A"/>
    <w:rsid w:val="006B00FC"/>
    <w:rsid w:val="006B0646"/>
    <w:rsid w:val="006B2610"/>
    <w:rsid w:val="006B49B2"/>
    <w:rsid w:val="006B7AB9"/>
    <w:rsid w:val="006C28A4"/>
    <w:rsid w:val="006C3372"/>
    <w:rsid w:val="006C5CEF"/>
    <w:rsid w:val="006D09D0"/>
    <w:rsid w:val="006D609E"/>
    <w:rsid w:val="006D6745"/>
    <w:rsid w:val="006E2CFA"/>
    <w:rsid w:val="006F06E3"/>
    <w:rsid w:val="0070392B"/>
    <w:rsid w:val="00704DF4"/>
    <w:rsid w:val="00712F7A"/>
    <w:rsid w:val="00722056"/>
    <w:rsid w:val="007222E5"/>
    <w:rsid w:val="00730233"/>
    <w:rsid w:val="0073044A"/>
    <w:rsid w:val="007320E7"/>
    <w:rsid w:val="007335E2"/>
    <w:rsid w:val="00733AD5"/>
    <w:rsid w:val="00736EC8"/>
    <w:rsid w:val="00741495"/>
    <w:rsid w:val="00744663"/>
    <w:rsid w:val="00747F74"/>
    <w:rsid w:val="00752387"/>
    <w:rsid w:val="007550CE"/>
    <w:rsid w:val="0075623B"/>
    <w:rsid w:val="007566EC"/>
    <w:rsid w:val="0076197B"/>
    <w:rsid w:val="007640FD"/>
    <w:rsid w:val="00767986"/>
    <w:rsid w:val="00767DC7"/>
    <w:rsid w:val="007725E5"/>
    <w:rsid w:val="00774AAC"/>
    <w:rsid w:val="00776D8D"/>
    <w:rsid w:val="00777DAB"/>
    <w:rsid w:val="00784A7B"/>
    <w:rsid w:val="007859DF"/>
    <w:rsid w:val="00786517"/>
    <w:rsid w:val="0079258F"/>
    <w:rsid w:val="00793FB5"/>
    <w:rsid w:val="00795E3C"/>
    <w:rsid w:val="007A0025"/>
    <w:rsid w:val="007A0B12"/>
    <w:rsid w:val="007A27C9"/>
    <w:rsid w:val="007B3574"/>
    <w:rsid w:val="007B66FA"/>
    <w:rsid w:val="007B71C9"/>
    <w:rsid w:val="007C1904"/>
    <w:rsid w:val="007C3E3D"/>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37E"/>
    <w:rsid w:val="00810DDD"/>
    <w:rsid w:val="00811C0E"/>
    <w:rsid w:val="00814DE2"/>
    <w:rsid w:val="00816113"/>
    <w:rsid w:val="008213E9"/>
    <w:rsid w:val="00821EF2"/>
    <w:rsid w:val="0082233A"/>
    <w:rsid w:val="00832099"/>
    <w:rsid w:val="008325EC"/>
    <w:rsid w:val="008332FB"/>
    <w:rsid w:val="00834A0B"/>
    <w:rsid w:val="00836535"/>
    <w:rsid w:val="00855D34"/>
    <w:rsid w:val="008563FC"/>
    <w:rsid w:val="0086444D"/>
    <w:rsid w:val="0087042D"/>
    <w:rsid w:val="00874679"/>
    <w:rsid w:val="00875AF9"/>
    <w:rsid w:val="00881B71"/>
    <w:rsid w:val="00885188"/>
    <w:rsid w:val="00886BE4"/>
    <w:rsid w:val="00887979"/>
    <w:rsid w:val="008A25B8"/>
    <w:rsid w:val="008B0C38"/>
    <w:rsid w:val="008B5C71"/>
    <w:rsid w:val="008B5EAC"/>
    <w:rsid w:val="008C125E"/>
    <w:rsid w:val="008C2E2F"/>
    <w:rsid w:val="008C3920"/>
    <w:rsid w:val="008C3C22"/>
    <w:rsid w:val="008D0774"/>
    <w:rsid w:val="008D088C"/>
    <w:rsid w:val="008D4ABA"/>
    <w:rsid w:val="008D5FFD"/>
    <w:rsid w:val="008E1A48"/>
    <w:rsid w:val="008E25B5"/>
    <w:rsid w:val="008E2719"/>
    <w:rsid w:val="008E3B15"/>
    <w:rsid w:val="008E4009"/>
    <w:rsid w:val="008E7481"/>
    <w:rsid w:val="008E7E68"/>
    <w:rsid w:val="008F0A0B"/>
    <w:rsid w:val="008F0DE9"/>
    <w:rsid w:val="008F115A"/>
    <w:rsid w:val="008F1BCC"/>
    <w:rsid w:val="008F3EC6"/>
    <w:rsid w:val="009000EE"/>
    <w:rsid w:val="00902E27"/>
    <w:rsid w:val="00903FE2"/>
    <w:rsid w:val="00907144"/>
    <w:rsid w:val="00915419"/>
    <w:rsid w:val="00917A60"/>
    <w:rsid w:val="00920F6C"/>
    <w:rsid w:val="0092769E"/>
    <w:rsid w:val="0093038B"/>
    <w:rsid w:val="009308F0"/>
    <w:rsid w:val="0093480B"/>
    <w:rsid w:val="0093771D"/>
    <w:rsid w:val="00941BF8"/>
    <w:rsid w:val="00941C79"/>
    <w:rsid w:val="00941FBA"/>
    <w:rsid w:val="00953232"/>
    <w:rsid w:val="00957814"/>
    <w:rsid w:val="00962480"/>
    <w:rsid w:val="0096456D"/>
    <w:rsid w:val="009666DD"/>
    <w:rsid w:val="009707FA"/>
    <w:rsid w:val="00973EB8"/>
    <w:rsid w:val="0097411F"/>
    <w:rsid w:val="00976F42"/>
    <w:rsid w:val="00980070"/>
    <w:rsid w:val="00980241"/>
    <w:rsid w:val="009803FE"/>
    <w:rsid w:val="009810A2"/>
    <w:rsid w:val="00982AEA"/>
    <w:rsid w:val="00982D7E"/>
    <w:rsid w:val="0098393E"/>
    <w:rsid w:val="00985D7A"/>
    <w:rsid w:val="0098768C"/>
    <w:rsid w:val="00990737"/>
    <w:rsid w:val="00990B87"/>
    <w:rsid w:val="00991823"/>
    <w:rsid w:val="00991E19"/>
    <w:rsid w:val="009932CA"/>
    <w:rsid w:val="009967FD"/>
    <w:rsid w:val="009968BD"/>
    <w:rsid w:val="009A0A9B"/>
    <w:rsid w:val="009A4627"/>
    <w:rsid w:val="009B06E0"/>
    <w:rsid w:val="009C2ED0"/>
    <w:rsid w:val="009C533D"/>
    <w:rsid w:val="009D3975"/>
    <w:rsid w:val="009E5733"/>
    <w:rsid w:val="009E577C"/>
    <w:rsid w:val="009F22AD"/>
    <w:rsid w:val="009F4AC4"/>
    <w:rsid w:val="009F7D1D"/>
    <w:rsid w:val="00A05E63"/>
    <w:rsid w:val="00A06B34"/>
    <w:rsid w:val="00A07CE6"/>
    <w:rsid w:val="00A10440"/>
    <w:rsid w:val="00A23F8C"/>
    <w:rsid w:val="00A24181"/>
    <w:rsid w:val="00A300DF"/>
    <w:rsid w:val="00A3409A"/>
    <w:rsid w:val="00A4726C"/>
    <w:rsid w:val="00A47298"/>
    <w:rsid w:val="00A54646"/>
    <w:rsid w:val="00A55496"/>
    <w:rsid w:val="00A57D07"/>
    <w:rsid w:val="00A63334"/>
    <w:rsid w:val="00A67DF5"/>
    <w:rsid w:val="00A70337"/>
    <w:rsid w:val="00A71971"/>
    <w:rsid w:val="00A71C2B"/>
    <w:rsid w:val="00A7220C"/>
    <w:rsid w:val="00A72372"/>
    <w:rsid w:val="00A77A9C"/>
    <w:rsid w:val="00A83B4C"/>
    <w:rsid w:val="00AA05DC"/>
    <w:rsid w:val="00AA1637"/>
    <w:rsid w:val="00AA2006"/>
    <w:rsid w:val="00AA22E3"/>
    <w:rsid w:val="00AA6B01"/>
    <w:rsid w:val="00AB6CF4"/>
    <w:rsid w:val="00AC201F"/>
    <w:rsid w:val="00AC65E4"/>
    <w:rsid w:val="00AD7EA8"/>
    <w:rsid w:val="00AF05F0"/>
    <w:rsid w:val="00AF166C"/>
    <w:rsid w:val="00AF16C4"/>
    <w:rsid w:val="00B0240A"/>
    <w:rsid w:val="00B05C65"/>
    <w:rsid w:val="00B134C8"/>
    <w:rsid w:val="00B220B4"/>
    <w:rsid w:val="00B23078"/>
    <w:rsid w:val="00B3762F"/>
    <w:rsid w:val="00B44992"/>
    <w:rsid w:val="00B51697"/>
    <w:rsid w:val="00B546D5"/>
    <w:rsid w:val="00B615B9"/>
    <w:rsid w:val="00B64FFD"/>
    <w:rsid w:val="00B66A78"/>
    <w:rsid w:val="00B70A54"/>
    <w:rsid w:val="00B71AD5"/>
    <w:rsid w:val="00B722DE"/>
    <w:rsid w:val="00B72DC3"/>
    <w:rsid w:val="00B7732E"/>
    <w:rsid w:val="00B77EDB"/>
    <w:rsid w:val="00B84AEC"/>
    <w:rsid w:val="00B920AE"/>
    <w:rsid w:val="00BA6A8C"/>
    <w:rsid w:val="00BB0F12"/>
    <w:rsid w:val="00BB48BC"/>
    <w:rsid w:val="00BB6842"/>
    <w:rsid w:val="00BC7935"/>
    <w:rsid w:val="00BD1923"/>
    <w:rsid w:val="00BD6497"/>
    <w:rsid w:val="00BE22CE"/>
    <w:rsid w:val="00BE5427"/>
    <w:rsid w:val="00BF3D61"/>
    <w:rsid w:val="00C00EC7"/>
    <w:rsid w:val="00C062AB"/>
    <w:rsid w:val="00C10D8D"/>
    <w:rsid w:val="00C146FB"/>
    <w:rsid w:val="00C171F9"/>
    <w:rsid w:val="00C214C4"/>
    <w:rsid w:val="00C224EA"/>
    <w:rsid w:val="00C23C68"/>
    <w:rsid w:val="00C24A50"/>
    <w:rsid w:val="00C25BE7"/>
    <w:rsid w:val="00C27CE8"/>
    <w:rsid w:val="00C300E8"/>
    <w:rsid w:val="00C33255"/>
    <w:rsid w:val="00C34209"/>
    <w:rsid w:val="00C34342"/>
    <w:rsid w:val="00C5106E"/>
    <w:rsid w:val="00C53612"/>
    <w:rsid w:val="00C54EE6"/>
    <w:rsid w:val="00C63EC9"/>
    <w:rsid w:val="00C65380"/>
    <w:rsid w:val="00C656EE"/>
    <w:rsid w:val="00C7043C"/>
    <w:rsid w:val="00C70E81"/>
    <w:rsid w:val="00C71254"/>
    <w:rsid w:val="00C73D39"/>
    <w:rsid w:val="00C74278"/>
    <w:rsid w:val="00C8082E"/>
    <w:rsid w:val="00C818FE"/>
    <w:rsid w:val="00C852F2"/>
    <w:rsid w:val="00C949B1"/>
    <w:rsid w:val="00C96AA9"/>
    <w:rsid w:val="00C97465"/>
    <w:rsid w:val="00CA2D0E"/>
    <w:rsid w:val="00CA7801"/>
    <w:rsid w:val="00CB0FCB"/>
    <w:rsid w:val="00CB71EA"/>
    <w:rsid w:val="00CC3982"/>
    <w:rsid w:val="00CC7C26"/>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3006B"/>
    <w:rsid w:val="00D341E0"/>
    <w:rsid w:val="00D4068D"/>
    <w:rsid w:val="00D4260B"/>
    <w:rsid w:val="00D50FC0"/>
    <w:rsid w:val="00D56572"/>
    <w:rsid w:val="00D60FD7"/>
    <w:rsid w:val="00D646A9"/>
    <w:rsid w:val="00D67472"/>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BD8"/>
    <w:rsid w:val="00DE04E2"/>
    <w:rsid w:val="00DE0E3A"/>
    <w:rsid w:val="00DE3ECC"/>
    <w:rsid w:val="00DE7503"/>
    <w:rsid w:val="00E01417"/>
    <w:rsid w:val="00E07F82"/>
    <w:rsid w:val="00E13C11"/>
    <w:rsid w:val="00E157F0"/>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6042C"/>
    <w:rsid w:val="00E75760"/>
    <w:rsid w:val="00E77F36"/>
    <w:rsid w:val="00E844C6"/>
    <w:rsid w:val="00E84A97"/>
    <w:rsid w:val="00E857CA"/>
    <w:rsid w:val="00E85DD2"/>
    <w:rsid w:val="00E877F0"/>
    <w:rsid w:val="00E96951"/>
    <w:rsid w:val="00E976BA"/>
    <w:rsid w:val="00E977D0"/>
    <w:rsid w:val="00EA02DA"/>
    <w:rsid w:val="00EA0FC6"/>
    <w:rsid w:val="00EA187A"/>
    <w:rsid w:val="00EA2D64"/>
    <w:rsid w:val="00EA7845"/>
    <w:rsid w:val="00EB28AD"/>
    <w:rsid w:val="00EB5575"/>
    <w:rsid w:val="00EB6518"/>
    <w:rsid w:val="00EC067F"/>
    <w:rsid w:val="00EC1B20"/>
    <w:rsid w:val="00ED1E73"/>
    <w:rsid w:val="00ED5E4E"/>
    <w:rsid w:val="00ED78F8"/>
    <w:rsid w:val="00EE025C"/>
    <w:rsid w:val="00EE142E"/>
    <w:rsid w:val="00EE1A81"/>
    <w:rsid w:val="00EE457D"/>
    <w:rsid w:val="00EE4896"/>
    <w:rsid w:val="00EF08AD"/>
    <w:rsid w:val="00EF0F47"/>
    <w:rsid w:val="00EF2CD8"/>
    <w:rsid w:val="00F0671C"/>
    <w:rsid w:val="00F119E0"/>
    <w:rsid w:val="00F139FD"/>
    <w:rsid w:val="00F31EDB"/>
    <w:rsid w:val="00F377DE"/>
    <w:rsid w:val="00F41054"/>
    <w:rsid w:val="00F41F27"/>
    <w:rsid w:val="00F426E5"/>
    <w:rsid w:val="00F42AAE"/>
    <w:rsid w:val="00F462A1"/>
    <w:rsid w:val="00F505E0"/>
    <w:rsid w:val="00F50E9B"/>
    <w:rsid w:val="00F56306"/>
    <w:rsid w:val="00F72F50"/>
    <w:rsid w:val="00F75BBC"/>
    <w:rsid w:val="00F778FD"/>
    <w:rsid w:val="00F861F4"/>
    <w:rsid w:val="00F863B1"/>
    <w:rsid w:val="00F87DA0"/>
    <w:rsid w:val="00F9131D"/>
    <w:rsid w:val="00F91BCA"/>
    <w:rsid w:val="00F92A03"/>
    <w:rsid w:val="00FA2499"/>
    <w:rsid w:val="00FA43BE"/>
    <w:rsid w:val="00FA49CE"/>
    <w:rsid w:val="00FB05A8"/>
    <w:rsid w:val="00FC3561"/>
    <w:rsid w:val="00FC4E8F"/>
    <w:rsid w:val="00FC6314"/>
    <w:rsid w:val="00FD1F54"/>
    <w:rsid w:val="00FD27F5"/>
    <w:rsid w:val="00FD4200"/>
    <w:rsid w:val="00FD6C97"/>
    <w:rsid w:val="00FD7605"/>
    <w:rsid w:val="00FE18F1"/>
    <w:rsid w:val="00FE23D6"/>
    <w:rsid w:val="00FE29A5"/>
    <w:rsid w:val="00FF38E0"/>
    <w:rsid w:val="00FF6114"/>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DD2701E6-13B4-4423-A6C0-BD45B8E0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A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348B"/>
    <w:rPr>
      <w:iCs/>
      <w:sz w:val="21"/>
      <w:szCs w:val="21"/>
    </w:rPr>
  </w:style>
  <w:style w:type="paragraph" w:styleId="Titre1">
    <w:name w:val="heading 1"/>
    <w:basedOn w:val="Normal"/>
    <w:next w:val="Normal"/>
    <w:link w:val="Titre1Car"/>
    <w:uiPriority w:val="9"/>
    <w:qFormat/>
    <w:rsid w:val="0015348B"/>
    <w:pPr>
      <w:pBdr>
        <w:top w:val="single" w:sz="12" w:space="1" w:color="D55816" w:themeColor="accent2"/>
        <w:left w:val="single" w:sz="12" w:space="4" w:color="D55816" w:themeColor="accent2"/>
        <w:bottom w:val="single" w:sz="12" w:space="1" w:color="D55816" w:themeColor="accent2"/>
        <w:right w:val="single" w:sz="12" w:space="4" w:color="D55816" w:themeColor="accent2"/>
      </w:pBdr>
      <w:shd w:val="clear" w:color="auto" w:fill="A5300F" w:themeFill="accent1"/>
      <w:spacing w:line="240" w:lineRule="auto"/>
      <w:outlineLvl w:val="0"/>
    </w:pPr>
    <w:rPr>
      <w:rFonts w:asciiTheme="majorHAnsi" w:hAnsiTheme="majorHAnsi"/>
      <w:color w:val="FFFFFF"/>
      <w:sz w:val="28"/>
      <w:szCs w:val="38"/>
    </w:rPr>
  </w:style>
  <w:style w:type="paragraph" w:styleId="Titre2">
    <w:name w:val="heading 2"/>
    <w:basedOn w:val="Normal"/>
    <w:next w:val="Normal"/>
    <w:link w:val="Titre2Car"/>
    <w:uiPriority w:val="9"/>
    <w:semiHidden/>
    <w:unhideWhenUsed/>
    <w:qFormat/>
    <w:rsid w:val="0015348B"/>
    <w:pPr>
      <w:spacing w:before="200" w:after="60" w:line="240" w:lineRule="auto"/>
      <w:contextualSpacing/>
      <w:outlineLvl w:val="1"/>
    </w:pPr>
    <w:rPr>
      <w:rFonts w:asciiTheme="majorHAnsi" w:eastAsiaTheme="majorEastAsia" w:hAnsiTheme="majorHAnsi" w:cstheme="majorBidi"/>
      <w:b/>
      <w:bCs/>
      <w:outline/>
      <w:color w:val="A5300F" w:themeColor="accent1"/>
      <w:sz w:val="34"/>
      <w:szCs w:val="34"/>
      <w14:textOutline w14:w="9525" w14:cap="flat" w14:cmpd="sng" w14:algn="ctr">
        <w14:solidFill>
          <w14:schemeClr w14:val="accent1"/>
        </w14:solidFill>
        <w14:prstDash w14:val="solid"/>
        <w14:round/>
      </w14:textOutline>
      <w14:textFill>
        <w14:noFill/>
      </w14:textFill>
    </w:rPr>
  </w:style>
  <w:style w:type="paragraph" w:styleId="Titre3">
    <w:name w:val="heading 3"/>
    <w:basedOn w:val="Normal"/>
    <w:next w:val="Normal"/>
    <w:link w:val="Titre3Car"/>
    <w:uiPriority w:val="9"/>
    <w:semiHidden/>
    <w:unhideWhenUsed/>
    <w:qFormat/>
    <w:rsid w:val="0015348B"/>
    <w:pPr>
      <w:spacing w:before="200" w:after="100" w:line="240" w:lineRule="auto"/>
      <w:contextualSpacing/>
      <w:outlineLvl w:val="2"/>
    </w:pPr>
    <w:rPr>
      <w:rFonts w:asciiTheme="majorHAnsi" w:eastAsiaTheme="majorEastAsia" w:hAnsiTheme="majorHAnsi" w:cstheme="majorBidi"/>
      <w:b/>
      <w:bCs/>
      <w:smallCaps/>
      <w:color w:val="9F4110" w:themeColor="accent2" w:themeShade="BF"/>
      <w:spacing w:val="24"/>
      <w:sz w:val="28"/>
      <w:szCs w:val="22"/>
    </w:rPr>
  </w:style>
  <w:style w:type="paragraph" w:styleId="Titre4">
    <w:name w:val="heading 4"/>
    <w:basedOn w:val="Normal"/>
    <w:next w:val="Normal"/>
    <w:link w:val="Titre4Car"/>
    <w:uiPriority w:val="9"/>
    <w:semiHidden/>
    <w:unhideWhenUsed/>
    <w:qFormat/>
    <w:rsid w:val="0015348B"/>
    <w:pPr>
      <w:spacing w:before="200" w:after="100" w:line="240" w:lineRule="auto"/>
      <w:contextualSpacing/>
      <w:outlineLvl w:val="3"/>
    </w:pPr>
    <w:rPr>
      <w:rFonts w:asciiTheme="majorHAnsi" w:eastAsiaTheme="majorEastAsia" w:hAnsiTheme="majorHAnsi" w:cstheme="majorBidi"/>
      <w:b/>
      <w:bCs/>
      <w:color w:val="7B230B" w:themeColor="accent1" w:themeShade="BF"/>
      <w:sz w:val="24"/>
      <w:szCs w:val="22"/>
    </w:rPr>
  </w:style>
  <w:style w:type="paragraph" w:styleId="Titre5">
    <w:name w:val="heading 5"/>
    <w:basedOn w:val="Normal"/>
    <w:next w:val="Normal"/>
    <w:link w:val="Titre5Car"/>
    <w:uiPriority w:val="9"/>
    <w:semiHidden/>
    <w:unhideWhenUsed/>
    <w:qFormat/>
    <w:rsid w:val="0015348B"/>
    <w:pPr>
      <w:spacing w:before="200" w:after="100" w:line="240" w:lineRule="auto"/>
      <w:contextualSpacing/>
      <w:outlineLvl w:val="4"/>
    </w:pPr>
    <w:rPr>
      <w:rFonts w:asciiTheme="majorHAnsi" w:eastAsiaTheme="majorEastAsia" w:hAnsiTheme="majorHAnsi" w:cstheme="majorBidi"/>
      <w:bCs/>
      <w:caps/>
      <w:color w:val="9F4110" w:themeColor="accent2" w:themeShade="BF"/>
      <w:sz w:val="22"/>
      <w:szCs w:val="22"/>
    </w:rPr>
  </w:style>
  <w:style w:type="paragraph" w:styleId="Titre6">
    <w:name w:val="heading 6"/>
    <w:basedOn w:val="Normal"/>
    <w:next w:val="Normal"/>
    <w:link w:val="Titre6Car"/>
    <w:uiPriority w:val="9"/>
    <w:semiHidden/>
    <w:unhideWhenUsed/>
    <w:qFormat/>
    <w:rsid w:val="0015348B"/>
    <w:pPr>
      <w:spacing w:before="200" w:after="100" w:line="240" w:lineRule="auto"/>
      <w:contextualSpacing/>
      <w:outlineLvl w:val="5"/>
    </w:pPr>
    <w:rPr>
      <w:rFonts w:asciiTheme="majorHAnsi" w:eastAsiaTheme="majorEastAsia" w:hAnsiTheme="majorHAnsi" w:cstheme="majorBidi"/>
      <w:color w:val="7B230B" w:themeColor="accent1" w:themeShade="BF"/>
      <w:sz w:val="22"/>
      <w:szCs w:val="22"/>
    </w:rPr>
  </w:style>
  <w:style w:type="paragraph" w:styleId="Titre7">
    <w:name w:val="heading 7"/>
    <w:basedOn w:val="Normal"/>
    <w:next w:val="Normal"/>
    <w:link w:val="Titre7Car"/>
    <w:uiPriority w:val="9"/>
    <w:semiHidden/>
    <w:unhideWhenUsed/>
    <w:qFormat/>
    <w:rsid w:val="0015348B"/>
    <w:pPr>
      <w:spacing w:before="200" w:after="100" w:line="240" w:lineRule="auto"/>
      <w:contextualSpacing/>
      <w:outlineLvl w:val="6"/>
    </w:pPr>
    <w:rPr>
      <w:rFonts w:asciiTheme="majorHAnsi" w:eastAsiaTheme="majorEastAsia" w:hAnsiTheme="majorHAnsi" w:cstheme="majorBidi"/>
      <w:color w:val="9F4110" w:themeColor="accent2" w:themeShade="BF"/>
      <w:sz w:val="22"/>
      <w:szCs w:val="22"/>
    </w:rPr>
  </w:style>
  <w:style w:type="paragraph" w:styleId="Titre8">
    <w:name w:val="heading 8"/>
    <w:basedOn w:val="Normal"/>
    <w:next w:val="Normal"/>
    <w:link w:val="Titre8Car"/>
    <w:uiPriority w:val="9"/>
    <w:semiHidden/>
    <w:unhideWhenUsed/>
    <w:qFormat/>
    <w:rsid w:val="0015348B"/>
    <w:pPr>
      <w:spacing w:before="200" w:after="100" w:line="240" w:lineRule="auto"/>
      <w:contextualSpacing/>
      <w:outlineLvl w:val="7"/>
    </w:pPr>
    <w:rPr>
      <w:rFonts w:asciiTheme="majorHAnsi" w:eastAsiaTheme="majorEastAsia" w:hAnsiTheme="majorHAnsi" w:cstheme="majorBidi"/>
      <w:color w:val="A5300F" w:themeColor="accent1"/>
      <w:sz w:val="22"/>
      <w:szCs w:val="22"/>
    </w:rPr>
  </w:style>
  <w:style w:type="paragraph" w:styleId="Titre9">
    <w:name w:val="heading 9"/>
    <w:basedOn w:val="Normal"/>
    <w:next w:val="Normal"/>
    <w:link w:val="Titre9Car"/>
    <w:uiPriority w:val="9"/>
    <w:semiHidden/>
    <w:unhideWhenUsed/>
    <w:qFormat/>
    <w:rsid w:val="0015348B"/>
    <w:pPr>
      <w:spacing w:before="200" w:after="100" w:line="240" w:lineRule="auto"/>
      <w:contextualSpacing/>
      <w:outlineLvl w:val="8"/>
    </w:pPr>
    <w:rPr>
      <w:rFonts w:asciiTheme="majorHAnsi" w:eastAsiaTheme="majorEastAsia" w:hAnsiTheme="majorHAnsi" w:cstheme="majorBidi"/>
      <w:smallCaps/>
      <w:color w:val="D55816" w:themeColor="accent2"/>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2731"/>
    <w:pPr>
      <w:tabs>
        <w:tab w:val="center" w:pos="4536"/>
        <w:tab w:val="right" w:pos="9072"/>
      </w:tabs>
    </w:pPr>
  </w:style>
  <w:style w:type="character" w:customStyle="1" w:styleId="En-tteCar">
    <w:name w:val="En-tête Car"/>
    <w:basedOn w:val="Policepardfaut"/>
    <w:link w:val="En-tte"/>
    <w:uiPriority w:val="99"/>
    <w:rsid w:val="001B2731"/>
  </w:style>
  <w:style w:type="paragraph" w:styleId="Pieddepage">
    <w:name w:val="footer"/>
    <w:basedOn w:val="Normal"/>
    <w:link w:val="PieddepageCar"/>
    <w:uiPriority w:val="99"/>
    <w:unhideWhenUsed/>
    <w:rsid w:val="001B2731"/>
    <w:pPr>
      <w:tabs>
        <w:tab w:val="center" w:pos="4536"/>
        <w:tab w:val="right" w:pos="9072"/>
      </w:tabs>
    </w:pPr>
  </w:style>
  <w:style w:type="character" w:customStyle="1" w:styleId="PieddepageCar">
    <w:name w:val="Pied de page Car"/>
    <w:basedOn w:val="Policepardfaut"/>
    <w:link w:val="Pieddepage"/>
    <w:uiPriority w:val="99"/>
    <w:rsid w:val="001B2731"/>
  </w:style>
  <w:style w:type="character" w:styleId="Lienhypertexte">
    <w:name w:val="Hyperlink"/>
    <w:basedOn w:val="Policepardfaut"/>
    <w:uiPriority w:val="99"/>
    <w:unhideWhenUsed/>
    <w:rsid w:val="00E07F82"/>
    <w:rPr>
      <w:color w:val="6B9F25" w:themeColor="hyperlink"/>
      <w:u w:val="single"/>
    </w:rPr>
  </w:style>
  <w:style w:type="character" w:styleId="Marquedecommentaire">
    <w:name w:val="annotation reference"/>
    <w:basedOn w:val="Policepardfaut"/>
    <w:uiPriority w:val="99"/>
    <w:semiHidden/>
    <w:unhideWhenUsed/>
    <w:rsid w:val="00E977D0"/>
    <w:rPr>
      <w:sz w:val="16"/>
      <w:szCs w:val="16"/>
    </w:rPr>
  </w:style>
  <w:style w:type="paragraph" w:styleId="Commentaire">
    <w:name w:val="annotation text"/>
    <w:basedOn w:val="Normal"/>
    <w:link w:val="CommentaireCar"/>
    <w:uiPriority w:val="99"/>
    <w:unhideWhenUsed/>
    <w:rsid w:val="00E977D0"/>
    <w:rPr>
      <w:sz w:val="20"/>
      <w:szCs w:val="20"/>
    </w:rPr>
  </w:style>
  <w:style w:type="character" w:customStyle="1" w:styleId="CommentaireCar">
    <w:name w:val="Commentaire Car"/>
    <w:basedOn w:val="Policepardfaut"/>
    <w:link w:val="Commentaire"/>
    <w:uiPriority w:val="99"/>
    <w:rsid w:val="00E977D0"/>
    <w:rPr>
      <w:sz w:val="20"/>
      <w:szCs w:val="20"/>
    </w:rPr>
  </w:style>
  <w:style w:type="paragraph" w:styleId="Objetducommentaire">
    <w:name w:val="annotation subject"/>
    <w:basedOn w:val="Commentaire"/>
    <w:next w:val="Commentaire"/>
    <w:link w:val="ObjetducommentaireCar"/>
    <w:uiPriority w:val="99"/>
    <w:semiHidden/>
    <w:unhideWhenUsed/>
    <w:rsid w:val="00E977D0"/>
    <w:rPr>
      <w:b/>
      <w:bCs/>
    </w:rPr>
  </w:style>
  <w:style w:type="character" w:customStyle="1" w:styleId="ObjetducommentaireCar">
    <w:name w:val="Objet du commentaire Car"/>
    <w:basedOn w:val="CommentaireCar"/>
    <w:link w:val="Objetducommentaire"/>
    <w:uiPriority w:val="99"/>
    <w:semiHidden/>
    <w:rsid w:val="00E977D0"/>
    <w:rPr>
      <w:b/>
      <w:bCs/>
      <w:sz w:val="20"/>
      <w:szCs w:val="20"/>
    </w:rPr>
  </w:style>
  <w:style w:type="paragraph" w:styleId="Textedebulles">
    <w:name w:val="Balloon Text"/>
    <w:basedOn w:val="Normal"/>
    <w:link w:val="TextedebullesCar"/>
    <w:uiPriority w:val="99"/>
    <w:semiHidden/>
    <w:unhideWhenUsed/>
    <w:rsid w:val="00E977D0"/>
    <w:rPr>
      <w:rFonts w:ascii="Tahoma" w:hAnsi="Tahoma" w:cs="Tahoma"/>
      <w:sz w:val="16"/>
      <w:szCs w:val="16"/>
    </w:rPr>
  </w:style>
  <w:style w:type="character" w:customStyle="1" w:styleId="TextedebullesCar">
    <w:name w:val="Texte de bulles Car"/>
    <w:basedOn w:val="Policepardfaut"/>
    <w:link w:val="Textedebulles"/>
    <w:uiPriority w:val="99"/>
    <w:semiHidden/>
    <w:rsid w:val="00E977D0"/>
    <w:rPr>
      <w:rFonts w:ascii="Tahoma" w:hAnsi="Tahoma" w:cs="Tahoma"/>
      <w:sz w:val="16"/>
      <w:szCs w:val="16"/>
    </w:rPr>
  </w:style>
  <w:style w:type="paragraph" w:styleId="Notedebasdepage">
    <w:name w:val="footnote text"/>
    <w:basedOn w:val="Normal"/>
    <w:link w:val="NotedebasdepageCar"/>
    <w:uiPriority w:val="99"/>
    <w:semiHidden/>
    <w:unhideWhenUsed/>
    <w:rsid w:val="008D4ABA"/>
    <w:rPr>
      <w:sz w:val="20"/>
      <w:szCs w:val="20"/>
    </w:rPr>
  </w:style>
  <w:style w:type="character" w:customStyle="1" w:styleId="NotedebasdepageCar">
    <w:name w:val="Note de bas de page Car"/>
    <w:basedOn w:val="Policepardfaut"/>
    <w:link w:val="Notedebasdepage"/>
    <w:uiPriority w:val="99"/>
    <w:semiHidden/>
    <w:rsid w:val="008D4ABA"/>
    <w:rPr>
      <w:sz w:val="20"/>
      <w:szCs w:val="20"/>
    </w:rPr>
  </w:style>
  <w:style w:type="character" w:styleId="Appelnotedebasdep">
    <w:name w:val="footnote reference"/>
    <w:basedOn w:val="Policepardfaut"/>
    <w:uiPriority w:val="99"/>
    <w:semiHidden/>
    <w:unhideWhenUsed/>
    <w:rsid w:val="008D4ABA"/>
    <w:rPr>
      <w:vertAlign w:val="superscript"/>
    </w:rPr>
  </w:style>
  <w:style w:type="paragraph" w:styleId="Paragraphedeliste">
    <w:name w:val="List Paragraph"/>
    <w:basedOn w:val="Normal"/>
    <w:uiPriority w:val="1"/>
    <w:qFormat/>
    <w:rsid w:val="0015348B"/>
    <w:pPr>
      <w:numPr>
        <w:numId w:val="38"/>
      </w:numPr>
      <w:contextualSpacing/>
    </w:pPr>
    <w:rPr>
      <w:sz w:val="22"/>
    </w:rPr>
  </w:style>
  <w:style w:type="character" w:styleId="Lienhypertextesuivivisit">
    <w:name w:val="FollowedHyperlink"/>
    <w:basedOn w:val="Policepardfaut"/>
    <w:uiPriority w:val="99"/>
    <w:semiHidden/>
    <w:unhideWhenUsed/>
    <w:rsid w:val="005E2D1C"/>
    <w:rPr>
      <w:color w:val="B26B02" w:themeColor="followedHyperlink"/>
      <w:u w:val="single"/>
    </w:rPr>
  </w:style>
  <w:style w:type="paragraph" w:styleId="Rvision">
    <w:name w:val="Revision"/>
    <w:hidden/>
    <w:uiPriority w:val="99"/>
    <w:semiHidden/>
    <w:rsid w:val="00D21202"/>
  </w:style>
  <w:style w:type="character" w:styleId="Numrodepage">
    <w:name w:val="page number"/>
    <w:basedOn w:val="Policepardfaut"/>
    <w:uiPriority w:val="99"/>
    <w:semiHidden/>
    <w:unhideWhenUsed/>
    <w:rsid w:val="00B722DE"/>
  </w:style>
  <w:style w:type="character" w:customStyle="1" w:styleId="Titre1Car">
    <w:name w:val="Titre 1 Car"/>
    <w:basedOn w:val="Policepardfaut"/>
    <w:link w:val="Titre1"/>
    <w:uiPriority w:val="9"/>
    <w:rsid w:val="0015348B"/>
    <w:rPr>
      <w:rFonts w:asciiTheme="majorHAnsi" w:hAnsiTheme="majorHAnsi"/>
      <w:iCs/>
      <w:color w:val="FFFFFF"/>
      <w:sz w:val="28"/>
      <w:szCs w:val="38"/>
      <w:shd w:val="clear" w:color="auto" w:fill="A5300F" w:themeFill="accent1"/>
    </w:rPr>
  </w:style>
  <w:style w:type="paragraph" w:styleId="Titre">
    <w:name w:val="Title"/>
    <w:basedOn w:val="Normal"/>
    <w:next w:val="Normal"/>
    <w:link w:val="TitreCar"/>
    <w:uiPriority w:val="10"/>
    <w:qFormat/>
    <w:rsid w:val="0015348B"/>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rPr>
  </w:style>
  <w:style w:type="character" w:customStyle="1" w:styleId="TitreCar">
    <w:name w:val="Titre Car"/>
    <w:basedOn w:val="Policepardfaut"/>
    <w:link w:val="Titre"/>
    <w:uiPriority w:val="10"/>
    <w:rsid w:val="0015348B"/>
    <w:rPr>
      <w:rFonts w:asciiTheme="majorHAnsi" w:eastAsiaTheme="majorEastAsia" w:hAnsiTheme="majorHAnsi" w:cstheme="majorBidi"/>
      <w:b/>
      <w:iCs/>
      <w:color w:val="FFFFFF" w:themeColor="background1"/>
      <w:spacing w:val="10"/>
      <w:sz w:val="72"/>
      <w:szCs w:val="64"/>
      <w:shd w:val="clear" w:color="auto" w:fill="FFFFFF" w:themeFill="background1"/>
    </w:rPr>
  </w:style>
  <w:style w:type="paragraph" w:styleId="Sansinterligne">
    <w:name w:val="No Spacing"/>
    <w:basedOn w:val="Normal"/>
    <w:link w:val="SansinterligneCar"/>
    <w:uiPriority w:val="1"/>
    <w:qFormat/>
    <w:rsid w:val="0015348B"/>
    <w:pPr>
      <w:spacing w:after="0" w:line="240" w:lineRule="auto"/>
    </w:pPr>
  </w:style>
  <w:style w:type="character" w:styleId="Mentionnonrsolue">
    <w:name w:val="Unresolved Mention"/>
    <w:basedOn w:val="Policepardfaut"/>
    <w:uiPriority w:val="99"/>
    <w:unhideWhenUsed/>
    <w:rsid w:val="0015348B"/>
    <w:rPr>
      <w:color w:val="605E5C"/>
      <w:shd w:val="clear" w:color="auto" w:fill="E1DFDD"/>
    </w:rPr>
  </w:style>
  <w:style w:type="character" w:customStyle="1" w:styleId="Titre2Car">
    <w:name w:val="Titre 2 Car"/>
    <w:basedOn w:val="Policepardfaut"/>
    <w:link w:val="Titre2"/>
    <w:uiPriority w:val="9"/>
    <w:semiHidden/>
    <w:rsid w:val="0015348B"/>
    <w:rPr>
      <w:rFonts w:asciiTheme="majorHAnsi" w:eastAsiaTheme="majorEastAsia" w:hAnsiTheme="majorHAnsi" w:cstheme="majorBidi"/>
      <w:b/>
      <w:bCs/>
      <w:iCs/>
      <w:outline/>
      <w:color w:val="A5300F" w:themeColor="accent1"/>
      <w:sz w:val="34"/>
      <w:szCs w:val="34"/>
      <w14:textOutline w14:w="9525" w14:cap="flat" w14:cmpd="sng" w14:algn="ctr">
        <w14:solidFill>
          <w14:schemeClr w14:val="accent1"/>
        </w14:solidFill>
        <w14:prstDash w14:val="solid"/>
        <w14:round/>
      </w14:textOutline>
      <w14:textFill>
        <w14:noFill/>
      </w14:textFill>
    </w:rPr>
  </w:style>
  <w:style w:type="character" w:customStyle="1" w:styleId="Titre3Car">
    <w:name w:val="Titre 3 Car"/>
    <w:basedOn w:val="Policepardfaut"/>
    <w:link w:val="Titre3"/>
    <w:uiPriority w:val="9"/>
    <w:semiHidden/>
    <w:rsid w:val="0015348B"/>
    <w:rPr>
      <w:rFonts w:asciiTheme="majorHAnsi" w:eastAsiaTheme="majorEastAsia" w:hAnsiTheme="majorHAnsi" w:cstheme="majorBidi"/>
      <w:b/>
      <w:bCs/>
      <w:iCs/>
      <w:smallCaps/>
      <w:color w:val="9F4110" w:themeColor="accent2" w:themeShade="BF"/>
      <w:spacing w:val="24"/>
      <w:sz w:val="28"/>
    </w:rPr>
  </w:style>
  <w:style w:type="character" w:customStyle="1" w:styleId="Titre4Car">
    <w:name w:val="Titre 4 Car"/>
    <w:basedOn w:val="Policepardfaut"/>
    <w:link w:val="Titre4"/>
    <w:uiPriority w:val="9"/>
    <w:semiHidden/>
    <w:rsid w:val="0015348B"/>
    <w:rPr>
      <w:rFonts w:asciiTheme="majorHAnsi" w:eastAsiaTheme="majorEastAsia" w:hAnsiTheme="majorHAnsi" w:cstheme="majorBidi"/>
      <w:b/>
      <w:bCs/>
      <w:iCs/>
      <w:color w:val="7B230B" w:themeColor="accent1" w:themeShade="BF"/>
      <w:sz w:val="24"/>
    </w:rPr>
  </w:style>
  <w:style w:type="character" w:customStyle="1" w:styleId="Titre5Car">
    <w:name w:val="Titre 5 Car"/>
    <w:basedOn w:val="Policepardfaut"/>
    <w:link w:val="Titre5"/>
    <w:uiPriority w:val="9"/>
    <w:semiHidden/>
    <w:rsid w:val="0015348B"/>
    <w:rPr>
      <w:rFonts w:asciiTheme="majorHAnsi" w:eastAsiaTheme="majorEastAsia" w:hAnsiTheme="majorHAnsi" w:cstheme="majorBidi"/>
      <w:bCs/>
      <w:iCs/>
      <w:caps/>
      <w:color w:val="9F4110" w:themeColor="accent2" w:themeShade="BF"/>
    </w:rPr>
  </w:style>
  <w:style w:type="character" w:customStyle="1" w:styleId="Titre6Car">
    <w:name w:val="Titre 6 Car"/>
    <w:basedOn w:val="Policepardfaut"/>
    <w:link w:val="Titre6"/>
    <w:uiPriority w:val="9"/>
    <w:semiHidden/>
    <w:rsid w:val="0015348B"/>
    <w:rPr>
      <w:rFonts w:asciiTheme="majorHAnsi" w:eastAsiaTheme="majorEastAsia" w:hAnsiTheme="majorHAnsi" w:cstheme="majorBidi"/>
      <w:iCs/>
      <w:color w:val="7B230B" w:themeColor="accent1" w:themeShade="BF"/>
    </w:rPr>
  </w:style>
  <w:style w:type="character" w:customStyle="1" w:styleId="Titre7Car">
    <w:name w:val="Titre 7 Car"/>
    <w:basedOn w:val="Policepardfaut"/>
    <w:link w:val="Titre7"/>
    <w:uiPriority w:val="9"/>
    <w:semiHidden/>
    <w:rsid w:val="0015348B"/>
    <w:rPr>
      <w:rFonts w:asciiTheme="majorHAnsi" w:eastAsiaTheme="majorEastAsia" w:hAnsiTheme="majorHAnsi" w:cstheme="majorBidi"/>
      <w:iCs/>
      <w:color w:val="9F4110" w:themeColor="accent2" w:themeShade="BF"/>
    </w:rPr>
  </w:style>
  <w:style w:type="character" w:customStyle="1" w:styleId="Titre8Car">
    <w:name w:val="Titre 8 Car"/>
    <w:basedOn w:val="Policepardfaut"/>
    <w:link w:val="Titre8"/>
    <w:uiPriority w:val="9"/>
    <w:semiHidden/>
    <w:rsid w:val="0015348B"/>
    <w:rPr>
      <w:rFonts w:asciiTheme="majorHAnsi" w:eastAsiaTheme="majorEastAsia" w:hAnsiTheme="majorHAnsi" w:cstheme="majorBidi"/>
      <w:iCs/>
      <w:color w:val="A5300F" w:themeColor="accent1"/>
    </w:rPr>
  </w:style>
  <w:style w:type="character" w:customStyle="1" w:styleId="Titre9Car">
    <w:name w:val="Titre 9 Car"/>
    <w:basedOn w:val="Policepardfaut"/>
    <w:link w:val="Titre9"/>
    <w:uiPriority w:val="9"/>
    <w:semiHidden/>
    <w:rsid w:val="0015348B"/>
    <w:rPr>
      <w:rFonts w:asciiTheme="majorHAnsi" w:eastAsiaTheme="majorEastAsia" w:hAnsiTheme="majorHAnsi" w:cstheme="majorBidi"/>
      <w:iCs/>
      <w:smallCaps/>
      <w:color w:val="D55816" w:themeColor="accent2"/>
      <w:sz w:val="20"/>
      <w:szCs w:val="21"/>
    </w:rPr>
  </w:style>
  <w:style w:type="paragraph" w:styleId="Lgende">
    <w:name w:val="caption"/>
    <w:basedOn w:val="Normal"/>
    <w:next w:val="Normal"/>
    <w:uiPriority w:val="35"/>
    <w:semiHidden/>
    <w:unhideWhenUsed/>
    <w:qFormat/>
    <w:rsid w:val="0015348B"/>
    <w:rPr>
      <w:b/>
      <w:bCs/>
      <w:color w:val="9F4110" w:themeColor="accent2" w:themeShade="BF"/>
      <w:sz w:val="18"/>
      <w:szCs w:val="18"/>
    </w:rPr>
  </w:style>
  <w:style w:type="paragraph" w:styleId="Sous-titre">
    <w:name w:val="Subtitle"/>
    <w:basedOn w:val="Normal"/>
    <w:next w:val="Normal"/>
    <w:link w:val="Sous-titreCar"/>
    <w:uiPriority w:val="11"/>
    <w:qFormat/>
    <w:rsid w:val="0015348B"/>
    <w:pPr>
      <w:spacing w:before="200" w:after="360" w:line="240" w:lineRule="auto"/>
    </w:pPr>
    <w:rPr>
      <w:rFonts w:asciiTheme="majorHAnsi" w:eastAsiaTheme="majorEastAsia" w:hAnsiTheme="majorHAnsi" w:cstheme="majorBidi"/>
      <w:color w:val="323232" w:themeColor="text2"/>
      <w:spacing w:val="20"/>
      <w:sz w:val="24"/>
      <w:szCs w:val="24"/>
    </w:rPr>
  </w:style>
  <w:style w:type="character" w:customStyle="1" w:styleId="Sous-titreCar">
    <w:name w:val="Sous-titre Car"/>
    <w:basedOn w:val="Policepardfaut"/>
    <w:link w:val="Sous-titre"/>
    <w:uiPriority w:val="11"/>
    <w:rsid w:val="0015348B"/>
    <w:rPr>
      <w:rFonts w:asciiTheme="majorHAnsi" w:eastAsiaTheme="majorEastAsia" w:hAnsiTheme="majorHAnsi" w:cstheme="majorBidi"/>
      <w:iCs/>
      <w:color w:val="323232" w:themeColor="text2"/>
      <w:spacing w:val="20"/>
      <w:sz w:val="24"/>
      <w:szCs w:val="24"/>
    </w:rPr>
  </w:style>
  <w:style w:type="character" w:styleId="lev">
    <w:name w:val="Strong"/>
    <w:uiPriority w:val="22"/>
    <w:qFormat/>
    <w:rsid w:val="0015348B"/>
    <w:rPr>
      <w:b/>
      <w:bCs/>
      <w:spacing w:val="0"/>
    </w:rPr>
  </w:style>
  <w:style w:type="character" w:styleId="Accentuation">
    <w:name w:val="Emphasis"/>
    <w:uiPriority w:val="20"/>
    <w:qFormat/>
    <w:rsid w:val="0015348B"/>
    <w:rPr>
      <w:rFonts w:eastAsiaTheme="majorEastAsia" w:cstheme="majorBidi"/>
      <w:b/>
      <w:bCs/>
      <w:color w:val="9F4110" w:themeColor="accent2" w:themeShade="BF"/>
      <w:bdr w:val="single" w:sz="18" w:space="0" w:color="E5C243" w:themeColor="background2"/>
      <w:shd w:val="clear" w:color="auto" w:fill="E5C243" w:themeFill="background2"/>
    </w:rPr>
  </w:style>
  <w:style w:type="paragraph" w:styleId="Citation">
    <w:name w:val="Quote"/>
    <w:basedOn w:val="Normal"/>
    <w:next w:val="Normal"/>
    <w:link w:val="CitationCar"/>
    <w:uiPriority w:val="29"/>
    <w:qFormat/>
    <w:rsid w:val="0015348B"/>
    <w:rPr>
      <w:b/>
      <w:i/>
      <w:color w:val="D55816" w:themeColor="accent2"/>
      <w:sz w:val="24"/>
    </w:rPr>
  </w:style>
  <w:style w:type="character" w:customStyle="1" w:styleId="CitationCar">
    <w:name w:val="Citation Car"/>
    <w:basedOn w:val="Policepardfaut"/>
    <w:link w:val="Citation"/>
    <w:uiPriority w:val="29"/>
    <w:rsid w:val="0015348B"/>
    <w:rPr>
      <w:b/>
      <w:i/>
      <w:iCs/>
      <w:color w:val="D55816" w:themeColor="accent2"/>
      <w:sz w:val="24"/>
      <w:szCs w:val="21"/>
    </w:rPr>
  </w:style>
  <w:style w:type="paragraph" w:styleId="Citationintense">
    <w:name w:val="Intense Quote"/>
    <w:basedOn w:val="Normal"/>
    <w:next w:val="Normal"/>
    <w:link w:val="CitationintenseCar"/>
    <w:uiPriority w:val="30"/>
    <w:qFormat/>
    <w:rsid w:val="0015348B"/>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i/>
      <w:color w:val="D55816" w:themeColor="accent2"/>
      <w:sz w:val="20"/>
      <w:szCs w:val="20"/>
    </w:rPr>
  </w:style>
  <w:style w:type="character" w:customStyle="1" w:styleId="CitationintenseCar">
    <w:name w:val="Citation intense Car"/>
    <w:basedOn w:val="Policepardfaut"/>
    <w:link w:val="Citationintense"/>
    <w:uiPriority w:val="30"/>
    <w:rsid w:val="0015348B"/>
    <w:rPr>
      <w:rFonts w:asciiTheme="majorHAnsi" w:eastAsiaTheme="majorEastAsia" w:hAnsiTheme="majorHAnsi" w:cstheme="majorBidi"/>
      <w:b/>
      <w:bCs/>
      <w:i/>
      <w:iCs/>
      <w:color w:val="D55816" w:themeColor="accent2"/>
      <w:sz w:val="20"/>
      <w:szCs w:val="20"/>
    </w:rPr>
  </w:style>
  <w:style w:type="character" w:styleId="Accentuationlgre">
    <w:name w:val="Subtle Emphasis"/>
    <w:uiPriority w:val="19"/>
    <w:qFormat/>
    <w:rsid w:val="0015348B"/>
    <w:rPr>
      <w:rFonts w:asciiTheme="majorHAnsi" w:eastAsiaTheme="majorEastAsia" w:hAnsiTheme="majorHAnsi" w:cstheme="majorBidi"/>
      <w:b/>
      <w:i/>
      <w:color w:val="A5300F" w:themeColor="accent1"/>
    </w:rPr>
  </w:style>
  <w:style w:type="character" w:styleId="Accentuationintense">
    <w:name w:val="Intense Emphasis"/>
    <w:uiPriority w:val="21"/>
    <w:qFormat/>
    <w:rsid w:val="0015348B"/>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character" w:styleId="Rfrencelgre">
    <w:name w:val="Subtle Reference"/>
    <w:uiPriority w:val="31"/>
    <w:qFormat/>
    <w:rsid w:val="0015348B"/>
    <w:rPr>
      <w:i/>
      <w:iCs/>
      <w:smallCaps/>
      <w:color w:val="D55816" w:themeColor="accent2"/>
      <w:u w:color="D55816" w:themeColor="accent2"/>
    </w:rPr>
  </w:style>
  <w:style w:type="character" w:styleId="Rfrenceintense">
    <w:name w:val="Intense Reference"/>
    <w:uiPriority w:val="32"/>
    <w:qFormat/>
    <w:rsid w:val="0015348B"/>
    <w:rPr>
      <w:b/>
      <w:bCs/>
      <w:i/>
      <w:iCs/>
      <w:smallCaps/>
      <w:color w:val="D55816" w:themeColor="accent2"/>
      <w:u w:color="D55816" w:themeColor="accent2"/>
    </w:rPr>
  </w:style>
  <w:style w:type="character" w:styleId="Titredulivre">
    <w:name w:val="Book Title"/>
    <w:uiPriority w:val="33"/>
    <w:qFormat/>
    <w:rsid w:val="0015348B"/>
    <w:rPr>
      <w:rFonts w:asciiTheme="majorHAnsi" w:eastAsiaTheme="majorEastAsia" w:hAnsiTheme="majorHAnsi" w:cstheme="majorBidi"/>
      <w:b/>
      <w:bCs/>
      <w:smallCaps/>
      <w:color w:val="D55816" w:themeColor="accent2"/>
      <w:u w:val="single"/>
    </w:rPr>
  </w:style>
  <w:style w:type="paragraph" w:styleId="En-ttedetabledesmatires">
    <w:name w:val="TOC Heading"/>
    <w:basedOn w:val="Titre1"/>
    <w:next w:val="Normal"/>
    <w:uiPriority w:val="39"/>
    <w:unhideWhenUsed/>
    <w:qFormat/>
    <w:rsid w:val="0015348B"/>
    <w:pPr>
      <w:outlineLvl w:val="9"/>
    </w:pPr>
  </w:style>
  <w:style w:type="character" w:customStyle="1" w:styleId="SansinterligneCar">
    <w:name w:val="Sans interligne Car"/>
    <w:basedOn w:val="Policepardfaut"/>
    <w:link w:val="Sansinterligne"/>
    <w:uiPriority w:val="1"/>
    <w:rsid w:val="0015348B"/>
    <w:rPr>
      <w:iCs/>
      <w:sz w:val="21"/>
      <w:szCs w:val="21"/>
    </w:rPr>
  </w:style>
  <w:style w:type="paragraph" w:styleId="TM1">
    <w:name w:val="toc 1"/>
    <w:basedOn w:val="Normal"/>
    <w:next w:val="Normal"/>
    <w:autoRedefine/>
    <w:uiPriority w:val="39"/>
    <w:unhideWhenUsed/>
    <w:rsid w:val="00744663"/>
    <w:pPr>
      <w:tabs>
        <w:tab w:val="right" w:leader="dot" w:pos="906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content/EN/TXT/?uri=CELEX%3A32021R1060" TargetMode="External"/><Relationship Id="rId18" Type="http://schemas.openxmlformats.org/officeDocument/2006/relationships/hyperlink" Target="https://www.ohchr.org/en/documents/general-comments-and-recommendations/general-comment-no6-equality-and-non-discriminatio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ur-lex.europa.eu/legal-content/EN/TXT/?uri=CELEX%3A12012P%2FTX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hchr.org/en/documents/general-comments-and-recommendations/general-comment-no-4-article-24-right-inclusiv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docs.org/Home/Mobile?FinalSymbol=CRPD%2FC%2FGC%2F5&amp;Language=E&amp;DeviceType=Desktop&amp;LangRequested=False" TargetMode="External"/><Relationship Id="rId20" Type="http://schemas.openxmlformats.org/officeDocument/2006/relationships/hyperlink" Target="https://www.ohchr.org/en/documents/legal-standards-and-guidelines/crpdc5-guidelines-deinstitutionalization-includ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eur-lex.europa.eu/legal-content/EN/TXT/?uri=CELEX%3A32021R1057"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ohchr.org/en/documents/general-comments-and-recommendations/crpdcgc8-general-comment-no-8-2022-right-pers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hchr.org/en/instruments-mechanisms/instruments/convention-rights-persons-disabilities" TargetMode="External"/><Relationship Id="rId22" Type="http://schemas.openxmlformats.org/officeDocument/2006/relationships/hyperlink" Target="http://www.enil.eu"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il.eu/funding/" TargetMode="External"/><Relationship Id="rId3" Type="http://schemas.openxmlformats.org/officeDocument/2006/relationships/hyperlink" Target="https://enil.eu/wp-content/uploads/2023/10/Explainer_DI_October23-ENIL.pdf" TargetMode="External"/><Relationship Id="rId7" Type="http://schemas.openxmlformats.org/officeDocument/2006/relationships/hyperlink" Target="https://enil.eu/wp-content/uploads/2022/03/Mladenov_Pokern_Bulic-PA_Checklist.pdf" TargetMode="External"/><Relationship Id="rId2" Type="http://schemas.openxmlformats.org/officeDocument/2006/relationships/hyperlink" Target="https://www.ohchr.org/en/documents/country-reports/ahrc5232add1-visit-european-union-report-special-rapporteur-rights" TargetMode="External"/><Relationship Id="rId1" Type="http://schemas.openxmlformats.org/officeDocument/2006/relationships/hyperlink" Target="https://enil.eu/funding/" TargetMode="External"/><Relationship Id="rId6" Type="http://schemas.openxmlformats.org/officeDocument/2006/relationships/hyperlink" Target="https://enil.eu/wp-content/uploads/2024/03/ILO_ENIL_Towards-Dignity-and-autonomy_-A-Comprehensive-Look-at-Personal-Assistance-Policies-for-Persons-with-Disabilities-Worldwide.pdf" TargetMode="External"/><Relationship Id="rId5" Type="http://schemas.openxmlformats.org/officeDocument/2006/relationships/hyperlink" Target="https://fra.europa.eu/en/publication/2018/handbook-european-non-discrimination-law-2018-edition" TargetMode="External"/><Relationship Id="rId4" Type="http://schemas.openxmlformats.org/officeDocument/2006/relationships/hyperlink" Target="https://digitallibrary.un.org/record/3884297?v=pdf" TargetMode="External"/></Relationships>
</file>

<file path=word/theme/theme1.xml><?xml version="1.0" encoding="utf-8"?>
<a:theme xmlns:a="http://schemas.openxmlformats.org/drawingml/2006/main" name="Larissa">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5592E-24F0-5145-A4C3-1D0ED1817C89}">
  <ds:schemaRefs>
    <ds:schemaRef ds:uri="http://schemas.openxmlformats.org/officeDocument/2006/bibliography"/>
  </ds:schemaRefs>
</ds:datastoreItem>
</file>

<file path=customXml/itemProps2.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3131</Words>
  <Characters>17221</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Maastricht University</Company>
  <LinksUpToDate>false</LinksUpToDate>
  <CharactersWithSpaces>20312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Madl</dc:creator>
  <cp:keywords/>
  <dc:description/>
  <cp:lastModifiedBy>Rita Crespo</cp:lastModifiedBy>
  <cp:revision>22</cp:revision>
  <cp:lastPrinted>2019-09-23T06:12:00Z</cp:lastPrinted>
  <dcterms:created xsi:type="dcterms:W3CDTF">2024-12-18T17:21:00Z</dcterms:created>
  <dcterms:modified xsi:type="dcterms:W3CDTF">2024-12-18T17:40:00Z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