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D08B" w14:textId="127C3CAC" w:rsidR="00D4095E" w:rsidRPr="008F79F1" w:rsidRDefault="00D4095E" w:rsidP="00985FFE">
      <w:pPr>
        <w:spacing w:line="240" w:lineRule="auto"/>
        <w:jc w:val="both"/>
        <w:rPr>
          <w:rFonts w:ascii="Helvetica" w:hAnsi="Helvetica"/>
          <w:b/>
          <w:color w:val="4472C4" w:themeColor="accent1"/>
          <w:sz w:val="40"/>
          <w:szCs w:val="40"/>
          <w:lang w:val="en-GB"/>
        </w:rPr>
      </w:pPr>
      <w:r w:rsidRPr="008F79F1">
        <w:rPr>
          <w:rFonts w:ascii="Helvetica" w:hAnsi="Helvetica"/>
          <w:b/>
          <w:color w:val="4472C4" w:themeColor="accent1"/>
          <w:sz w:val="40"/>
          <w:szCs w:val="40"/>
          <w:lang w:val="en-GB"/>
        </w:rPr>
        <w:t>Position Paper on the Multiannual Financial Framework 2028</w:t>
      </w:r>
      <w:r w:rsidR="00AD2E48" w:rsidRPr="008F79F1">
        <w:rPr>
          <w:rFonts w:ascii="Helvetica" w:hAnsi="Helvetica"/>
          <w:b/>
          <w:color w:val="4472C4" w:themeColor="accent1"/>
          <w:sz w:val="40"/>
          <w:szCs w:val="40"/>
          <w:lang w:val="en-GB"/>
        </w:rPr>
        <w:t xml:space="preserve"> </w:t>
      </w:r>
      <w:r w:rsidRPr="008F79F1">
        <w:rPr>
          <w:rFonts w:ascii="Helvetica" w:hAnsi="Helvetica"/>
          <w:b/>
          <w:color w:val="4472C4" w:themeColor="accent1"/>
          <w:sz w:val="40"/>
          <w:szCs w:val="40"/>
          <w:lang w:val="en-GB"/>
        </w:rPr>
        <w:t>-</w:t>
      </w:r>
      <w:r w:rsidR="00AD2E48" w:rsidRPr="008F79F1">
        <w:rPr>
          <w:rFonts w:ascii="Helvetica" w:hAnsi="Helvetica"/>
          <w:b/>
          <w:color w:val="4472C4" w:themeColor="accent1"/>
          <w:sz w:val="40"/>
          <w:szCs w:val="40"/>
          <w:lang w:val="en-GB"/>
        </w:rPr>
        <w:t xml:space="preserve"> </w:t>
      </w:r>
      <w:r w:rsidRPr="008F79F1">
        <w:rPr>
          <w:rFonts w:ascii="Helvetica" w:hAnsi="Helvetica"/>
          <w:b/>
          <w:color w:val="4472C4" w:themeColor="accent1"/>
          <w:sz w:val="40"/>
          <w:szCs w:val="40"/>
          <w:lang w:val="en-GB"/>
        </w:rPr>
        <w:t>2034 discussions</w:t>
      </w:r>
    </w:p>
    <w:p w14:paraId="3EE904DE" w14:textId="77777777" w:rsidR="00551E40" w:rsidRPr="008F79F1" w:rsidRDefault="00AD2E48" w:rsidP="00985FFE">
      <w:pPr>
        <w:spacing w:line="240" w:lineRule="auto"/>
        <w:rPr>
          <w:rFonts w:ascii="Helvetica" w:hAnsi="Helvetica"/>
          <w:bCs/>
          <w:color w:val="4472C4" w:themeColor="accent1"/>
          <w:sz w:val="28"/>
          <w:szCs w:val="28"/>
          <w:lang w:val="en-GB"/>
        </w:rPr>
      </w:pPr>
      <w:r w:rsidRPr="008F79F1">
        <w:rPr>
          <w:rFonts w:ascii="Helvetica" w:hAnsi="Helvetica"/>
          <w:bCs/>
          <w:color w:val="4472C4" w:themeColor="accent1"/>
          <w:sz w:val="28"/>
          <w:szCs w:val="28"/>
          <w:lang w:val="en-GB"/>
        </w:rPr>
        <w:t>Response of the European Network on Independent Living to the “Public consultation on the next MFF: Implementing EU Funding with Member States and regions”</w:t>
      </w:r>
    </w:p>
    <w:p w14:paraId="5448CBEE" w14:textId="21C1C441" w:rsidR="00AD2E48" w:rsidRPr="008F79F1" w:rsidRDefault="00551E40" w:rsidP="00985FFE">
      <w:pPr>
        <w:spacing w:line="240" w:lineRule="auto"/>
        <w:rPr>
          <w:rFonts w:ascii="Helvetica" w:hAnsi="Helvetica"/>
          <w:bCs/>
          <w:i/>
          <w:iCs w:val="0"/>
          <w:sz w:val="28"/>
          <w:szCs w:val="28"/>
          <w:lang w:val="en-GB"/>
        </w:rPr>
      </w:pPr>
      <w:r w:rsidRPr="008F79F1">
        <w:rPr>
          <w:rFonts w:ascii="Helvetica" w:hAnsi="Helvetica"/>
          <w:bCs/>
          <w:i/>
          <w:iCs w:val="0"/>
          <w:color w:val="4472C4" w:themeColor="accent1"/>
          <w:sz w:val="28"/>
          <w:szCs w:val="28"/>
          <w:lang w:val="en-GB"/>
        </w:rPr>
        <w:t xml:space="preserve">5 </w:t>
      </w:r>
      <w:r w:rsidR="00AD2E48" w:rsidRPr="008F79F1">
        <w:rPr>
          <w:rFonts w:ascii="Helvetica" w:hAnsi="Helvetica"/>
          <w:bCs/>
          <w:i/>
          <w:iCs w:val="0"/>
          <w:color w:val="4472C4" w:themeColor="accent1"/>
          <w:sz w:val="28"/>
          <w:szCs w:val="28"/>
          <w:lang w:val="en-GB"/>
        </w:rPr>
        <w:t>May 2025</w:t>
      </w:r>
    </w:p>
    <w:p w14:paraId="412EE0DF" w14:textId="66A6F6E1" w:rsidR="0034664F" w:rsidRPr="008F79F1" w:rsidRDefault="0034664F" w:rsidP="00694DFA">
      <w:pPr>
        <w:pStyle w:val="Titre1"/>
        <w:spacing w:line="276" w:lineRule="auto"/>
        <w:jc w:val="both"/>
        <w:rPr>
          <w:rFonts w:ascii="Helvetica" w:hAnsi="Helvetica"/>
          <w:sz w:val="32"/>
          <w:szCs w:val="32"/>
          <w:lang w:val="en-GB"/>
        </w:rPr>
      </w:pPr>
      <w:bookmarkStart w:id="0" w:name="_Toc196926850"/>
      <w:r w:rsidRPr="008F79F1">
        <w:rPr>
          <w:rFonts w:ascii="Helvetica" w:hAnsi="Helvetica"/>
          <w:b/>
          <w:bCs/>
          <w:sz w:val="32"/>
          <w:szCs w:val="32"/>
          <w:lang w:val="en-GB"/>
        </w:rPr>
        <w:t>Introduction</w:t>
      </w:r>
      <w:bookmarkEnd w:id="0"/>
    </w:p>
    <w:p w14:paraId="126B0538" w14:textId="216186C8" w:rsidR="002731A5" w:rsidRPr="008F79F1" w:rsidRDefault="00400D3D" w:rsidP="002731A5">
      <w:pPr>
        <w:spacing w:line="276" w:lineRule="auto"/>
        <w:jc w:val="both"/>
        <w:rPr>
          <w:rFonts w:ascii="Arial" w:hAnsi="Arial" w:cs="Arial"/>
          <w:sz w:val="24"/>
          <w:szCs w:val="24"/>
          <w:lang w:val="en-GB"/>
        </w:rPr>
      </w:pPr>
      <w:r w:rsidRPr="008F79F1">
        <w:rPr>
          <w:rFonts w:ascii="Arial" w:hAnsi="Arial" w:cs="Arial"/>
          <w:sz w:val="24"/>
          <w:szCs w:val="24"/>
          <w:lang w:val="en-GB"/>
        </w:rPr>
        <w:t xml:space="preserve">As the Multiannual Financial Framework 2021-2027 approaches the end, </w:t>
      </w:r>
      <w:r w:rsidR="00EF3192" w:rsidRPr="008F79F1">
        <w:rPr>
          <w:rFonts w:ascii="Arial" w:hAnsi="Arial" w:cs="Arial"/>
          <w:sz w:val="24"/>
          <w:szCs w:val="24"/>
          <w:lang w:val="en-GB"/>
        </w:rPr>
        <w:t xml:space="preserve">the European </w:t>
      </w:r>
      <w:r w:rsidR="00AD2E48" w:rsidRPr="008F79F1">
        <w:rPr>
          <w:rFonts w:ascii="Arial" w:hAnsi="Arial" w:cs="Arial"/>
          <w:sz w:val="24"/>
          <w:szCs w:val="24"/>
          <w:lang w:val="en-GB"/>
        </w:rPr>
        <w:t>Union is reflecting on</w:t>
      </w:r>
      <w:r w:rsidRPr="008F79F1">
        <w:rPr>
          <w:rFonts w:ascii="Arial" w:hAnsi="Arial" w:cs="Arial"/>
          <w:sz w:val="24"/>
          <w:szCs w:val="24"/>
          <w:lang w:val="en-GB"/>
        </w:rPr>
        <w:t xml:space="preserve"> what the next budgetary period should look like. In this context,</w:t>
      </w:r>
      <w:r w:rsidR="00AD2E48" w:rsidRPr="008F79F1">
        <w:rPr>
          <w:rFonts w:ascii="Arial" w:hAnsi="Arial" w:cs="Arial"/>
          <w:sz w:val="24"/>
          <w:szCs w:val="24"/>
          <w:lang w:val="en-GB"/>
        </w:rPr>
        <w:t xml:space="preserve"> it has launched a public consultation on the next Multiannual Financial Framework 2028 – 20</w:t>
      </w:r>
      <w:r w:rsidR="00B43EBF">
        <w:rPr>
          <w:rFonts w:ascii="Arial" w:hAnsi="Arial" w:cs="Arial"/>
          <w:sz w:val="24"/>
          <w:szCs w:val="24"/>
          <w:lang w:val="en-GB"/>
        </w:rPr>
        <w:t>3</w:t>
      </w:r>
      <w:r w:rsidR="00AD2E48" w:rsidRPr="008F79F1">
        <w:rPr>
          <w:rFonts w:ascii="Arial" w:hAnsi="Arial" w:cs="Arial"/>
          <w:sz w:val="24"/>
          <w:szCs w:val="24"/>
          <w:lang w:val="en-GB"/>
        </w:rPr>
        <w:t xml:space="preserve">4. </w:t>
      </w:r>
    </w:p>
    <w:p w14:paraId="7E521CE6" w14:textId="3B7649C1" w:rsidR="002731A5" w:rsidRPr="008F79F1" w:rsidRDefault="002731A5" w:rsidP="002731A5">
      <w:pPr>
        <w:spacing w:line="276" w:lineRule="auto"/>
        <w:jc w:val="both"/>
        <w:rPr>
          <w:rFonts w:ascii="Arial" w:hAnsi="Arial" w:cs="Arial"/>
          <w:sz w:val="24"/>
          <w:szCs w:val="24"/>
          <w:lang w:val="en-GB"/>
        </w:rPr>
      </w:pPr>
      <w:r w:rsidRPr="008F79F1">
        <w:rPr>
          <w:rFonts w:ascii="Arial" w:hAnsi="Arial" w:cs="Arial"/>
          <w:sz w:val="24"/>
          <w:szCs w:val="24"/>
          <w:lang w:val="en-GB"/>
        </w:rPr>
        <w:t>This response, prepared by the European Network on Independent Living – ENIL, is based on the lessons learned by ENIL from the current and previous budgetary periods, with the objective to ensure better use of the European Union (EU) funds to address social inequalities across the EU and beyond.</w:t>
      </w:r>
    </w:p>
    <w:p w14:paraId="69DFAB4B" w14:textId="00969C44" w:rsidR="00AD2E48" w:rsidRPr="008F79F1" w:rsidRDefault="00AD2E48" w:rsidP="00694DFA">
      <w:pPr>
        <w:spacing w:line="276" w:lineRule="auto"/>
        <w:jc w:val="both"/>
        <w:rPr>
          <w:rFonts w:ascii="Arial" w:hAnsi="Arial" w:cs="Arial"/>
          <w:sz w:val="24"/>
          <w:szCs w:val="24"/>
          <w:lang w:val="en-GB"/>
        </w:rPr>
      </w:pPr>
      <w:r w:rsidRPr="008F79F1">
        <w:rPr>
          <w:rFonts w:ascii="Arial" w:hAnsi="Arial" w:cs="Arial"/>
          <w:sz w:val="24"/>
          <w:szCs w:val="24"/>
          <w:lang w:val="en-GB"/>
        </w:rPr>
        <w:t>ENIL has been monitoring the use of EU Funds since 2007, in relation to how they are supporting or inhibiting implementation of the UN Convention on the Rights of Persons with Disabilitie</w:t>
      </w:r>
      <w:r w:rsidR="00694DFA" w:rsidRPr="008F79F1">
        <w:rPr>
          <w:rFonts w:ascii="Arial" w:hAnsi="Arial" w:cs="Arial"/>
          <w:sz w:val="24"/>
          <w:szCs w:val="24"/>
          <w:lang w:val="en-GB"/>
        </w:rPr>
        <w:t>s (</w:t>
      </w:r>
      <w:r w:rsidR="00B43EBF">
        <w:rPr>
          <w:rFonts w:ascii="Arial" w:hAnsi="Arial" w:cs="Arial"/>
          <w:sz w:val="24"/>
          <w:szCs w:val="24"/>
          <w:lang w:val="en-GB"/>
        </w:rPr>
        <w:t xml:space="preserve">UNCRPD; </w:t>
      </w:r>
      <w:r w:rsidR="00694DFA" w:rsidRPr="008F79F1">
        <w:rPr>
          <w:rFonts w:ascii="Arial" w:hAnsi="Arial" w:cs="Arial"/>
          <w:sz w:val="24"/>
          <w:szCs w:val="24"/>
          <w:lang w:val="en-GB"/>
        </w:rPr>
        <w:t>ratified by the EU and all Member States).</w:t>
      </w:r>
      <w:r w:rsidRPr="008F79F1">
        <w:rPr>
          <w:rFonts w:ascii="Arial" w:hAnsi="Arial" w:cs="Arial"/>
          <w:sz w:val="24"/>
          <w:szCs w:val="24"/>
          <w:lang w:val="en-GB"/>
        </w:rPr>
        <w:t xml:space="preserve"> </w:t>
      </w:r>
      <w:r w:rsidR="00694DFA" w:rsidRPr="008F79F1">
        <w:rPr>
          <w:rFonts w:ascii="Arial" w:hAnsi="Arial" w:cs="Arial"/>
          <w:sz w:val="24"/>
          <w:szCs w:val="24"/>
          <w:lang w:val="en-GB"/>
        </w:rPr>
        <w:t>Our</w:t>
      </w:r>
      <w:r w:rsidRPr="008F79F1">
        <w:rPr>
          <w:rFonts w:ascii="Arial" w:hAnsi="Arial" w:cs="Arial"/>
          <w:sz w:val="24"/>
          <w:szCs w:val="24"/>
          <w:lang w:val="en-GB"/>
        </w:rPr>
        <w:t xml:space="preserve"> work has focused on monitoring investments in institutions for </w:t>
      </w:r>
      <w:r w:rsidR="00B43EBF">
        <w:rPr>
          <w:rFonts w:ascii="Arial" w:hAnsi="Arial" w:cs="Arial"/>
          <w:sz w:val="24"/>
          <w:szCs w:val="24"/>
          <w:lang w:val="en-GB"/>
        </w:rPr>
        <w:t>persons with disabilities</w:t>
      </w:r>
      <w:r w:rsidRPr="008F79F1">
        <w:rPr>
          <w:rFonts w:ascii="Arial" w:hAnsi="Arial" w:cs="Arial"/>
          <w:sz w:val="24"/>
          <w:szCs w:val="24"/>
          <w:lang w:val="en-GB"/>
        </w:rPr>
        <w:t xml:space="preserve">, as well as projects that improve the availability of community-based services (such as personal assistance). ENIL has published numerous reports on the topic, has submitted many complaints and carried out other legal and advocacy activities. </w:t>
      </w:r>
      <w:r w:rsidR="00694DFA" w:rsidRPr="008F79F1">
        <w:rPr>
          <w:rFonts w:ascii="Arial" w:hAnsi="Arial" w:cs="Arial"/>
          <w:sz w:val="24"/>
          <w:szCs w:val="24"/>
          <w:lang w:val="en-GB"/>
        </w:rPr>
        <w:t>An overview the relevant activities is available from</w:t>
      </w:r>
      <w:r w:rsidR="002731A5" w:rsidRPr="008F79F1">
        <w:rPr>
          <w:rFonts w:ascii="Arial" w:hAnsi="Arial" w:cs="Arial"/>
          <w:sz w:val="24"/>
          <w:szCs w:val="24"/>
          <w:lang w:val="en-GB"/>
        </w:rPr>
        <w:t xml:space="preserve"> here.</w:t>
      </w:r>
      <w:r w:rsidR="002731A5" w:rsidRPr="008F79F1">
        <w:rPr>
          <w:rStyle w:val="Appelnotedebasdep"/>
          <w:rFonts w:ascii="Arial" w:hAnsi="Arial" w:cs="Arial"/>
          <w:sz w:val="24"/>
          <w:szCs w:val="24"/>
          <w:lang w:val="en-GB"/>
        </w:rPr>
        <w:footnoteReference w:id="1"/>
      </w:r>
    </w:p>
    <w:p w14:paraId="10C1ADFF" w14:textId="1B7CD1E9" w:rsidR="00795177" w:rsidRPr="008F79F1" w:rsidRDefault="00400D3D"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In the </w:t>
      </w:r>
      <w:r w:rsidR="002731A5" w:rsidRPr="008F79F1">
        <w:rPr>
          <w:rFonts w:ascii="Arial" w:hAnsi="Arial" w:cs="Arial"/>
          <w:sz w:val="24"/>
          <w:szCs w:val="24"/>
          <w:lang w:val="en-GB"/>
        </w:rPr>
        <w:t>C</w:t>
      </w:r>
      <w:r w:rsidR="00420A89" w:rsidRPr="008F79F1">
        <w:rPr>
          <w:rFonts w:ascii="Arial" w:hAnsi="Arial" w:cs="Arial"/>
          <w:sz w:val="24"/>
          <w:szCs w:val="24"/>
          <w:lang w:val="en-GB"/>
        </w:rPr>
        <w:t>oncluding observations</w:t>
      </w:r>
      <w:r w:rsidRPr="008F79F1">
        <w:rPr>
          <w:rFonts w:ascii="Arial" w:hAnsi="Arial" w:cs="Arial"/>
          <w:sz w:val="24"/>
          <w:szCs w:val="24"/>
          <w:lang w:val="en-GB"/>
        </w:rPr>
        <w:t xml:space="preserve"> o</w:t>
      </w:r>
      <w:r w:rsidR="00A557A3" w:rsidRPr="008F79F1">
        <w:rPr>
          <w:rFonts w:ascii="Arial" w:hAnsi="Arial" w:cs="Arial"/>
          <w:sz w:val="24"/>
          <w:szCs w:val="24"/>
          <w:lang w:val="en-GB"/>
        </w:rPr>
        <w:t xml:space="preserve">n </w:t>
      </w:r>
      <w:r w:rsidRPr="008F79F1">
        <w:rPr>
          <w:rFonts w:ascii="Arial" w:hAnsi="Arial" w:cs="Arial"/>
          <w:sz w:val="24"/>
          <w:szCs w:val="24"/>
          <w:lang w:val="en-GB"/>
        </w:rPr>
        <w:t>the European Union by the Committee on the Rights of Persons with Disabilities</w:t>
      </w:r>
      <w:r w:rsidR="002731A5" w:rsidRPr="008F79F1">
        <w:rPr>
          <w:rStyle w:val="Appelnotedebasdep"/>
          <w:rFonts w:ascii="Arial" w:hAnsi="Arial" w:cs="Arial"/>
          <w:sz w:val="24"/>
          <w:szCs w:val="24"/>
          <w:lang w:val="en-GB"/>
        </w:rPr>
        <w:footnoteReference w:id="2"/>
      </w:r>
      <w:r w:rsidRPr="008F79F1">
        <w:rPr>
          <w:rFonts w:ascii="Arial" w:hAnsi="Arial" w:cs="Arial"/>
          <w:sz w:val="24"/>
          <w:szCs w:val="24"/>
          <w:lang w:val="en-GB"/>
        </w:rPr>
        <w:t>,</w:t>
      </w:r>
      <w:r w:rsidR="00694DFA" w:rsidRPr="008F79F1">
        <w:rPr>
          <w:rFonts w:ascii="Arial" w:hAnsi="Arial" w:cs="Arial"/>
          <w:sz w:val="24"/>
          <w:szCs w:val="24"/>
          <w:lang w:val="en-GB"/>
        </w:rPr>
        <w:t xml:space="preserve"> published on</w:t>
      </w:r>
      <w:r w:rsidR="00795177" w:rsidRPr="008F79F1">
        <w:rPr>
          <w:rFonts w:ascii="Arial" w:hAnsi="Arial" w:cs="Arial"/>
          <w:sz w:val="24"/>
          <w:szCs w:val="24"/>
          <w:lang w:val="en-GB"/>
        </w:rPr>
        <w:t xml:space="preserve"> 21 March 2025,</w:t>
      </w:r>
      <w:r w:rsidRPr="008F79F1">
        <w:rPr>
          <w:rFonts w:ascii="Arial" w:hAnsi="Arial" w:cs="Arial"/>
          <w:sz w:val="24"/>
          <w:szCs w:val="24"/>
          <w:lang w:val="en-GB"/>
        </w:rPr>
        <w:t xml:space="preserve"> the Committee raised concern</w:t>
      </w:r>
      <w:r w:rsidR="00795177" w:rsidRPr="008F79F1">
        <w:rPr>
          <w:rFonts w:ascii="Arial" w:hAnsi="Arial" w:cs="Arial"/>
          <w:sz w:val="24"/>
          <w:szCs w:val="24"/>
          <w:lang w:val="en-GB"/>
        </w:rPr>
        <w:t>s</w:t>
      </w:r>
      <w:r w:rsidRPr="008F79F1">
        <w:rPr>
          <w:rFonts w:ascii="Arial" w:hAnsi="Arial" w:cs="Arial"/>
          <w:sz w:val="24"/>
          <w:szCs w:val="24"/>
          <w:lang w:val="en-GB"/>
        </w:rPr>
        <w:t xml:space="preserve"> about </w:t>
      </w:r>
      <w:r w:rsidR="00795177" w:rsidRPr="008F79F1">
        <w:rPr>
          <w:rFonts w:ascii="Arial" w:hAnsi="Arial" w:cs="Arial"/>
          <w:sz w:val="24"/>
          <w:szCs w:val="24"/>
          <w:lang w:val="en-GB"/>
        </w:rPr>
        <w:t xml:space="preserve">the </w:t>
      </w:r>
      <w:r w:rsidRPr="008F79F1">
        <w:rPr>
          <w:rFonts w:ascii="Arial" w:hAnsi="Arial" w:cs="Arial"/>
          <w:sz w:val="24"/>
          <w:szCs w:val="24"/>
          <w:lang w:val="en-GB"/>
        </w:rPr>
        <w:t>continued misuse of EU funding</w:t>
      </w:r>
      <w:r w:rsidR="00795177" w:rsidRPr="008F79F1">
        <w:rPr>
          <w:rFonts w:ascii="Arial" w:hAnsi="Arial" w:cs="Arial"/>
          <w:sz w:val="24"/>
          <w:szCs w:val="24"/>
          <w:lang w:val="en-GB"/>
        </w:rPr>
        <w:t xml:space="preserve"> “for the construction and maintenance of institutional facilities, including small group homes, in Member States” </w:t>
      </w:r>
      <w:r w:rsidR="00795177" w:rsidRPr="008F79F1">
        <w:rPr>
          <w:rFonts w:ascii="Arial" w:hAnsi="Arial" w:cs="Arial"/>
          <w:sz w:val="24"/>
          <w:szCs w:val="24"/>
          <w:lang w:val="en-GB"/>
        </w:rPr>
        <w:lastRenderedPageBreak/>
        <w:t>and the lack of policies and investments aimed at “development of support measures in the community”. The Committee also criticised the current monitoring system for EU funds, which fails to “effectively ensure compliance with the obligations under the Convention” and denies organisations of persons with disabilities “access to judicial oversight processes”</w:t>
      </w:r>
      <w:r w:rsidRPr="008F79F1">
        <w:rPr>
          <w:rFonts w:ascii="Arial" w:hAnsi="Arial" w:cs="Arial"/>
          <w:sz w:val="24"/>
          <w:szCs w:val="24"/>
          <w:lang w:val="en-GB"/>
        </w:rPr>
        <w:t xml:space="preserve">. </w:t>
      </w:r>
    </w:p>
    <w:p w14:paraId="15C634E9" w14:textId="185F38DE" w:rsidR="00400D3D" w:rsidRPr="008F79F1" w:rsidRDefault="00795177" w:rsidP="00694DFA">
      <w:pPr>
        <w:spacing w:line="276" w:lineRule="auto"/>
        <w:jc w:val="both"/>
        <w:rPr>
          <w:rFonts w:ascii="Arial" w:hAnsi="Arial" w:cs="Arial"/>
          <w:b/>
          <w:bCs/>
          <w:sz w:val="24"/>
          <w:szCs w:val="24"/>
          <w:lang w:val="en-GB"/>
        </w:rPr>
      </w:pPr>
      <w:r w:rsidRPr="008F79F1">
        <w:rPr>
          <w:rFonts w:ascii="Arial" w:hAnsi="Arial" w:cs="Arial"/>
          <w:b/>
          <w:bCs/>
          <w:sz w:val="24"/>
          <w:szCs w:val="24"/>
          <w:lang w:val="en-GB"/>
        </w:rPr>
        <w:t>T</w:t>
      </w:r>
      <w:r w:rsidR="00E268EA" w:rsidRPr="008F79F1">
        <w:rPr>
          <w:rFonts w:ascii="Arial" w:hAnsi="Arial" w:cs="Arial"/>
          <w:b/>
          <w:bCs/>
          <w:sz w:val="24"/>
          <w:szCs w:val="24"/>
          <w:lang w:val="en-GB"/>
        </w:rPr>
        <w:t xml:space="preserve">he Committee provided the following </w:t>
      </w:r>
      <w:r w:rsidR="00A557A3" w:rsidRPr="008F79F1">
        <w:rPr>
          <w:rFonts w:ascii="Arial" w:hAnsi="Arial" w:cs="Arial"/>
          <w:b/>
          <w:bCs/>
          <w:sz w:val="24"/>
          <w:szCs w:val="24"/>
          <w:lang w:val="en-GB"/>
        </w:rPr>
        <w:t>recommendations</w:t>
      </w:r>
      <w:r w:rsidRPr="008F79F1">
        <w:rPr>
          <w:rFonts w:ascii="Arial" w:hAnsi="Arial" w:cs="Arial"/>
          <w:b/>
          <w:bCs/>
          <w:sz w:val="24"/>
          <w:szCs w:val="24"/>
          <w:lang w:val="en-GB"/>
        </w:rPr>
        <w:t xml:space="preserve"> to the European Union, which must be taken into consideration when drafting the rules governing the next Multiannual Financial Framework</w:t>
      </w:r>
      <w:r w:rsidR="00E268EA" w:rsidRPr="008F79F1">
        <w:rPr>
          <w:rFonts w:ascii="Arial" w:hAnsi="Arial" w:cs="Arial"/>
          <w:b/>
          <w:bCs/>
          <w:sz w:val="24"/>
          <w:szCs w:val="24"/>
          <w:lang w:val="en-GB"/>
        </w:rPr>
        <w:t>:</w:t>
      </w:r>
    </w:p>
    <w:p w14:paraId="0746637C" w14:textId="4C1DE89E" w:rsidR="00E268EA" w:rsidRPr="008F79F1" w:rsidRDefault="00E933E5" w:rsidP="00694DFA">
      <w:pPr>
        <w:pStyle w:val="Paragraphedeliste"/>
        <w:numPr>
          <w:ilvl w:val="0"/>
          <w:numId w:val="23"/>
        </w:numPr>
        <w:spacing w:line="276" w:lineRule="auto"/>
        <w:jc w:val="both"/>
        <w:rPr>
          <w:rFonts w:ascii="Arial" w:hAnsi="Arial" w:cs="Arial"/>
          <w:sz w:val="24"/>
          <w:szCs w:val="24"/>
          <w:lang w:val="en-GB"/>
        </w:rPr>
      </w:pPr>
      <w:r w:rsidRPr="008F79F1">
        <w:rPr>
          <w:rFonts w:ascii="Arial" w:hAnsi="Arial" w:cs="Arial"/>
          <w:sz w:val="24"/>
          <w:szCs w:val="24"/>
          <w:lang w:val="en-GB"/>
        </w:rPr>
        <w:t>Ensure that no EU funding, including the Recovery and Resilience Facility and the Neighbourhood, Development and International Cooperation Instrument, is used for the construction or maintenance of institutional facilities, including small group homes, and shape the Multiannual Financial Framework accordingly</w:t>
      </w:r>
      <w:r w:rsidR="00795177" w:rsidRPr="008F79F1">
        <w:rPr>
          <w:rFonts w:ascii="Arial" w:hAnsi="Arial" w:cs="Arial"/>
          <w:sz w:val="24"/>
          <w:szCs w:val="24"/>
          <w:lang w:val="en-GB"/>
        </w:rPr>
        <w:t xml:space="preserve">. </w:t>
      </w:r>
      <w:r w:rsidR="0016380E" w:rsidRPr="008F79F1">
        <w:rPr>
          <w:rFonts w:ascii="Arial" w:hAnsi="Arial" w:cs="Arial"/>
          <w:sz w:val="24"/>
          <w:szCs w:val="24"/>
          <w:lang w:val="en-GB"/>
        </w:rPr>
        <w:t>(para 49b)</w:t>
      </w:r>
    </w:p>
    <w:p w14:paraId="73F7CFB1" w14:textId="534E65F3" w:rsidR="00E933E5" w:rsidRPr="008F79F1" w:rsidRDefault="00E933E5" w:rsidP="00694DFA">
      <w:pPr>
        <w:pStyle w:val="Paragraphedeliste"/>
        <w:numPr>
          <w:ilvl w:val="0"/>
          <w:numId w:val="23"/>
        </w:numPr>
        <w:spacing w:line="276" w:lineRule="auto"/>
        <w:jc w:val="both"/>
        <w:rPr>
          <w:rFonts w:ascii="Arial" w:hAnsi="Arial" w:cs="Arial"/>
          <w:sz w:val="24"/>
          <w:szCs w:val="24"/>
          <w:lang w:val="en-GB"/>
        </w:rPr>
      </w:pPr>
      <w:r w:rsidRPr="008F79F1">
        <w:rPr>
          <w:rFonts w:ascii="Arial" w:hAnsi="Arial" w:cs="Arial"/>
          <w:sz w:val="24"/>
          <w:szCs w:val="24"/>
          <w:lang w:val="en-GB"/>
        </w:rPr>
        <w:t>Ensure that the post 2027 Cohesion Policy Legislation explicitly bans the use of EU funds for the construction and maintenance of institutional facilities, including small group homes, that the Disability Strategy 2021-2030 and its action plans for the period 2025-2030 comply with the obligations set out in the Committee’s General comment No.5, and that the European Union conduct and publish an impact analysis of previous funding, in close consultation and active involvement of persons with disabilities through their representative organizations.</w:t>
      </w:r>
      <w:r w:rsidR="0016380E" w:rsidRPr="008F79F1">
        <w:rPr>
          <w:color w:val="000000"/>
          <w:sz w:val="27"/>
          <w:szCs w:val="27"/>
          <w:lang w:val="en-GB"/>
        </w:rPr>
        <w:t xml:space="preserve"> </w:t>
      </w:r>
      <w:r w:rsidR="0016380E" w:rsidRPr="008F79F1">
        <w:rPr>
          <w:rFonts w:ascii="Arial" w:hAnsi="Arial" w:cs="Arial"/>
          <w:sz w:val="24"/>
          <w:szCs w:val="24"/>
          <w:lang w:val="en-GB"/>
        </w:rPr>
        <w:t>(para 49c)</w:t>
      </w:r>
    </w:p>
    <w:p w14:paraId="2143DB75" w14:textId="6965F866" w:rsidR="00735575" w:rsidRPr="008F79F1" w:rsidRDefault="00735575" w:rsidP="00694DFA">
      <w:pPr>
        <w:pStyle w:val="Paragraphedeliste"/>
        <w:numPr>
          <w:ilvl w:val="0"/>
          <w:numId w:val="23"/>
        </w:numPr>
        <w:spacing w:line="276" w:lineRule="auto"/>
        <w:jc w:val="both"/>
        <w:rPr>
          <w:rFonts w:ascii="Arial" w:hAnsi="Arial" w:cs="Arial"/>
          <w:sz w:val="24"/>
          <w:szCs w:val="24"/>
          <w:lang w:val="en-GB"/>
        </w:rPr>
      </w:pPr>
      <w:r w:rsidRPr="008F79F1">
        <w:rPr>
          <w:rFonts w:ascii="Arial" w:hAnsi="Arial" w:cs="Arial"/>
          <w:sz w:val="24"/>
          <w:szCs w:val="24"/>
          <w:lang w:val="en-GB"/>
        </w:rPr>
        <w:t>Strengthen monitoring and complaint mechanisms of the allocation of EU funds, by enhancing independence of monitoring committees at the national level, ensuring monitoring by national human rights institutions, persons with disabilities and their representative organizations, in the allocation of EU funds for disability-specific purposes, ensure effective access to justice for persons with disabilities and their representative organizations against the allocation of EU funds by Member States in violation of the Convention, and use its powers, such as infringement procedures, against Member States failing to implement these measures. (para 49f)</w:t>
      </w:r>
    </w:p>
    <w:p w14:paraId="75C2367B" w14:textId="12A7BA50" w:rsidR="00735575" w:rsidRPr="008F79F1" w:rsidRDefault="00735575" w:rsidP="00694DFA">
      <w:pPr>
        <w:pStyle w:val="Paragraphedeliste"/>
        <w:numPr>
          <w:ilvl w:val="0"/>
          <w:numId w:val="23"/>
        </w:numPr>
        <w:spacing w:line="276" w:lineRule="auto"/>
        <w:jc w:val="both"/>
        <w:rPr>
          <w:rFonts w:ascii="Arial" w:hAnsi="Arial" w:cs="Arial"/>
          <w:sz w:val="24"/>
          <w:szCs w:val="24"/>
          <w:lang w:val="en-GB"/>
        </w:rPr>
      </w:pPr>
      <w:r w:rsidRPr="008F79F1">
        <w:rPr>
          <w:rFonts w:ascii="Arial" w:hAnsi="Arial" w:cs="Arial"/>
          <w:sz w:val="24"/>
          <w:szCs w:val="24"/>
          <w:lang w:val="en-GB"/>
        </w:rPr>
        <w:t xml:space="preserve">Adopt unambiguous definitions of community-based services, including personal assistance, to improve targeting of investments, and collect and publish disaggregated data on the services provided and persons with disabilities utilizing them; prioritize investments for the development of accessible and affordable housing for persons with disabilities, personal assistance, </w:t>
      </w:r>
      <w:proofErr w:type="spellStart"/>
      <w:r w:rsidRPr="008F79F1">
        <w:rPr>
          <w:rFonts w:ascii="Arial" w:hAnsi="Arial" w:cs="Arial"/>
          <w:sz w:val="24"/>
          <w:szCs w:val="24"/>
          <w:lang w:val="en-GB"/>
        </w:rPr>
        <w:t>centers</w:t>
      </w:r>
      <w:proofErr w:type="spellEnd"/>
      <w:r w:rsidRPr="008F79F1">
        <w:rPr>
          <w:rFonts w:ascii="Arial" w:hAnsi="Arial" w:cs="Arial"/>
          <w:sz w:val="24"/>
          <w:szCs w:val="24"/>
          <w:lang w:val="en-GB"/>
        </w:rPr>
        <w:t xml:space="preserve"> for independent living, peer support and other types of individualized support respecting the will and preference of persons with disabilities. (para 49g)</w:t>
      </w:r>
      <w:r w:rsidR="0016380E" w:rsidRPr="008F79F1">
        <w:rPr>
          <w:rStyle w:val="Appelnotedebasdep"/>
          <w:rFonts w:ascii="Arial" w:hAnsi="Arial" w:cs="Arial"/>
          <w:sz w:val="24"/>
          <w:szCs w:val="24"/>
          <w:lang w:val="en-GB"/>
        </w:rPr>
        <w:footnoteReference w:id="3"/>
      </w:r>
    </w:p>
    <w:p w14:paraId="6FE88F88" w14:textId="17DF8333" w:rsidR="00400D3D" w:rsidRPr="008F79F1" w:rsidRDefault="00400D3D"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With the Committee’s recommendations in mind, this </w:t>
      </w:r>
      <w:r w:rsidR="00985FFE" w:rsidRPr="008F79F1">
        <w:rPr>
          <w:rFonts w:ascii="Arial" w:hAnsi="Arial" w:cs="Arial"/>
          <w:sz w:val="24"/>
          <w:szCs w:val="24"/>
          <w:lang w:val="en-GB"/>
        </w:rPr>
        <w:t xml:space="preserve">position </w:t>
      </w:r>
      <w:r w:rsidRPr="008F79F1">
        <w:rPr>
          <w:rFonts w:ascii="Arial" w:hAnsi="Arial" w:cs="Arial"/>
          <w:sz w:val="24"/>
          <w:szCs w:val="24"/>
          <w:lang w:val="en-GB"/>
        </w:rPr>
        <w:t xml:space="preserve">paper </w:t>
      </w:r>
      <w:r w:rsidR="00985FFE" w:rsidRPr="008F79F1">
        <w:rPr>
          <w:rFonts w:ascii="Arial" w:hAnsi="Arial" w:cs="Arial"/>
          <w:sz w:val="24"/>
          <w:szCs w:val="24"/>
          <w:lang w:val="en-GB"/>
        </w:rPr>
        <w:t xml:space="preserve">makes concrete proposals which should be </w:t>
      </w:r>
      <w:r w:rsidRPr="008F79F1">
        <w:rPr>
          <w:rFonts w:ascii="Arial" w:hAnsi="Arial" w:cs="Arial"/>
          <w:sz w:val="24"/>
          <w:szCs w:val="24"/>
          <w:lang w:val="en-GB"/>
        </w:rPr>
        <w:t>integrated in the upcoming EU budget</w:t>
      </w:r>
      <w:r w:rsidR="002731A5" w:rsidRPr="008F79F1">
        <w:rPr>
          <w:rFonts w:ascii="Arial" w:hAnsi="Arial" w:cs="Arial"/>
          <w:sz w:val="24"/>
          <w:szCs w:val="24"/>
          <w:lang w:val="en-GB"/>
        </w:rPr>
        <w:t>ary</w:t>
      </w:r>
      <w:r w:rsidRPr="008F79F1">
        <w:rPr>
          <w:rFonts w:ascii="Arial" w:hAnsi="Arial" w:cs="Arial"/>
          <w:sz w:val="24"/>
          <w:szCs w:val="24"/>
          <w:lang w:val="en-GB"/>
        </w:rPr>
        <w:t xml:space="preserve"> framework.</w:t>
      </w:r>
      <w:r w:rsidR="00FC5078" w:rsidRPr="008F79F1">
        <w:rPr>
          <w:rFonts w:ascii="Arial" w:hAnsi="Arial" w:cs="Arial"/>
          <w:sz w:val="24"/>
          <w:szCs w:val="24"/>
          <w:lang w:val="en-GB"/>
        </w:rPr>
        <w:t xml:space="preserve"> In line </w:t>
      </w:r>
      <w:r w:rsidR="00FC5078" w:rsidRPr="008F79F1">
        <w:rPr>
          <w:rFonts w:ascii="Arial" w:hAnsi="Arial" w:cs="Arial"/>
          <w:sz w:val="24"/>
          <w:szCs w:val="24"/>
          <w:lang w:val="en-GB"/>
        </w:rPr>
        <w:lastRenderedPageBreak/>
        <w:t>with the Committee’s recommendation on the definition of the key terms, a glossary is included at the end of the document.</w:t>
      </w:r>
    </w:p>
    <w:p w14:paraId="28B0A375" w14:textId="2D2D907F" w:rsidR="0034664F" w:rsidRPr="008F79F1" w:rsidRDefault="004B652C" w:rsidP="00694DFA">
      <w:pPr>
        <w:pStyle w:val="Titre1"/>
        <w:spacing w:line="276" w:lineRule="auto"/>
        <w:jc w:val="both"/>
        <w:rPr>
          <w:rFonts w:ascii="Helvetica" w:hAnsi="Helvetica"/>
          <w:b/>
          <w:bCs/>
          <w:sz w:val="32"/>
          <w:szCs w:val="32"/>
          <w:lang w:val="en-GB"/>
        </w:rPr>
      </w:pPr>
      <w:bookmarkStart w:id="1" w:name="_Toc196926851"/>
      <w:r w:rsidRPr="008F79F1">
        <w:rPr>
          <w:rFonts w:ascii="Helvetica" w:hAnsi="Helvetica"/>
          <w:b/>
          <w:bCs/>
          <w:sz w:val="32"/>
          <w:szCs w:val="32"/>
          <w:lang w:val="en-GB"/>
        </w:rPr>
        <w:t>Positive evolution in the 2021-2027 period</w:t>
      </w:r>
      <w:bookmarkEnd w:id="1"/>
    </w:p>
    <w:p w14:paraId="4C3BD3E9" w14:textId="02A59063" w:rsidR="00FB1353" w:rsidRPr="008F79F1" w:rsidRDefault="00FB1353"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The current EU budget 2021-2027 </w:t>
      </w:r>
      <w:r w:rsidR="001A6DAE" w:rsidRPr="008F79F1">
        <w:rPr>
          <w:rFonts w:ascii="Arial" w:hAnsi="Arial" w:cs="Arial"/>
          <w:sz w:val="24"/>
          <w:szCs w:val="24"/>
          <w:lang w:val="en-GB"/>
        </w:rPr>
        <w:t xml:space="preserve">adopted specific </w:t>
      </w:r>
      <w:r w:rsidR="0073724B" w:rsidRPr="008F79F1">
        <w:rPr>
          <w:rFonts w:ascii="Arial" w:hAnsi="Arial" w:cs="Arial"/>
          <w:sz w:val="24"/>
          <w:szCs w:val="24"/>
          <w:lang w:val="en-GB"/>
        </w:rPr>
        <w:t xml:space="preserve">legislative </w:t>
      </w:r>
      <w:r w:rsidR="001A6DAE" w:rsidRPr="008F79F1">
        <w:rPr>
          <w:rFonts w:ascii="Arial" w:hAnsi="Arial" w:cs="Arial"/>
          <w:sz w:val="24"/>
          <w:szCs w:val="24"/>
          <w:lang w:val="en-GB"/>
        </w:rPr>
        <w:t xml:space="preserve">measures to promote deinstitutionalisation </w:t>
      </w:r>
      <w:r w:rsidR="0073724B" w:rsidRPr="008F79F1">
        <w:rPr>
          <w:rFonts w:ascii="Arial" w:hAnsi="Arial" w:cs="Arial"/>
          <w:sz w:val="24"/>
          <w:szCs w:val="24"/>
          <w:lang w:val="en-GB"/>
        </w:rPr>
        <w:t xml:space="preserve">of persons with disabilities </w:t>
      </w:r>
      <w:r w:rsidR="001A6DAE" w:rsidRPr="008F79F1">
        <w:rPr>
          <w:rFonts w:ascii="Arial" w:hAnsi="Arial" w:cs="Arial"/>
          <w:sz w:val="24"/>
          <w:szCs w:val="24"/>
          <w:lang w:val="en-GB"/>
        </w:rPr>
        <w:t xml:space="preserve">through EU funding. In addition, there are several soft policy </w:t>
      </w:r>
      <w:r w:rsidR="0073724B" w:rsidRPr="008F79F1">
        <w:rPr>
          <w:rFonts w:ascii="Arial" w:hAnsi="Arial" w:cs="Arial"/>
          <w:sz w:val="24"/>
          <w:szCs w:val="24"/>
          <w:lang w:val="en-GB"/>
        </w:rPr>
        <w:t>instruments</w:t>
      </w:r>
      <w:r w:rsidR="001A6DAE" w:rsidRPr="008F79F1">
        <w:rPr>
          <w:rFonts w:ascii="Arial" w:hAnsi="Arial" w:cs="Arial"/>
          <w:sz w:val="24"/>
          <w:szCs w:val="24"/>
          <w:lang w:val="en-GB"/>
        </w:rPr>
        <w:t xml:space="preserve"> that support this process.</w:t>
      </w:r>
    </w:p>
    <w:p w14:paraId="561B713C" w14:textId="154D9522" w:rsidR="00D50D49" w:rsidRPr="008F79F1" w:rsidRDefault="00D50D49" w:rsidP="00694DFA">
      <w:pPr>
        <w:spacing w:line="276" w:lineRule="auto"/>
        <w:jc w:val="both"/>
        <w:rPr>
          <w:rFonts w:ascii="Arial" w:hAnsi="Arial" w:cs="Arial"/>
          <w:sz w:val="24"/>
          <w:szCs w:val="24"/>
          <w:lang w:val="en-GB"/>
        </w:rPr>
      </w:pPr>
      <w:r w:rsidRPr="008F79F1">
        <w:rPr>
          <w:rFonts w:ascii="Arial" w:hAnsi="Arial" w:cs="Arial"/>
          <w:sz w:val="24"/>
          <w:szCs w:val="24"/>
          <w:lang w:val="en-GB"/>
        </w:rPr>
        <w:t>The Common Provisions Regulation for the period 2021-2027</w:t>
      </w:r>
      <w:r w:rsidR="008F79F1">
        <w:rPr>
          <w:rStyle w:val="Appelnotedebasdep"/>
          <w:rFonts w:ascii="Arial" w:hAnsi="Arial" w:cs="Arial"/>
          <w:sz w:val="24"/>
          <w:szCs w:val="24"/>
          <w:lang w:val="en-GB"/>
        </w:rPr>
        <w:footnoteReference w:id="4"/>
      </w:r>
      <w:r w:rsidRPr="008F79F1">
        <w:rPr>
          <w:rFonts w:ascii="Arial" w:hAnsi="Arial" w:cs="Arial"/>
          <w:sz w:val="24"/>
          <w:szCs w:val="24"/>
          <w:lang w:val="en-GB"/>
        </w:rPr>
        <w:t xml:space="preserve"> includes the thematic enabling condition o</w:t>
      </w:r>
      <w:r w:rsidR="0073724B" w:rsidRPr="008F79F1">
        <w:rPr>
          <w:rFonts w:ascii="Arial" w:hAnsi="Arial" w:cs="Arial"/>
          <w:sz w:val="24"/>
          <w:szCs w:val="24"/>
          <w:lang w:val="en-GB"/>
        </w:rPr>
        <w:t>n</w:t>
      </w:r>
      <w:r w:rsidRPr="008F79F1">
        <w:rPr>
          <w:rFonts w:ascii="Arial" w:hAnsi="Arial" w:cs="Arial"/>
          <w:sz w:val="24"/>
          <w:szCs w:val="24"/>
          <w:lang w:val="en-GB"/>
        </w:rPr>
        <w:t xml:space="preserve"> the transition from institutional community-based care, in addition to a horizontal enabling condition </w:t>
      </w:r>
      <w:r w:rsidR="0073724B" w:rsidRPr="008F79F1">
        <w:rPr>
          <w:rFonts w:ascii="Arial" w:hAnsi="Arial" w:cs="Arial"/>
          <w:sz w:val="24"/>
          <w:szCs w:val="24"/>
          <w:lang w:val="en-GB"/>
        </w:rPr>
        <w:t>on the</w:t>
      </w:r>
      <w:r w:rsidRPr="008F79F1">
        <w:rPr>
          <w:rFonts w:ascii="Arial" w:hAnsi="Arial" w:cs="Arial"/>
          <w:sz w:val="24"/>
          <w:szCs w:val="24"/>
          <w:lang w:val="en-GB"/>
        </w:rPr>
        <w:t xml:space="preserve"> implementation of the </w:t>
      </w:r>
      <w:r w:rsidR="00FB1353" w:rsidRPr="008F79F1">
        <w:rPr>
          <w:rFonts w:ascii="Arial" w:hAnsi="Arial" w:cs="Arial"/>
          <w:sz w:val="24"/>
          <w:szCs w:val="24"/>
          <w:lang w:val="en-GB"/>
        </w:rPr>
        <w:t>United Nations Convention on the Rights of Persons with Disabilities (</w:t>
      </w:r>
      <w:r w:rsidRPr="008F79F1">
        <w:rPr>
          <w:rFonts w:ascii="Arial" w:hAnsi="Arial" w:cs="Arial"/>
          <w:sz w:val="24"/>
          <w:szCs w:val="24"/>
          <w:lang w:val="en-GB"/>
        </w:rPr>
        <w:t>UNCRPD</w:t>
      </w:r>
      <w:r w:rsidR="00FB1353" w:rsidRPr="008F79F1">
        <w:rPr>
          <w:rFonts w:ascii="Arial" w:hAnsi="Arial" w:cs="Arial"/>
          <w:sz w:val="24"/>
          <w:szCs w:val="24"/>
          <w:lang w:val="en-GB"/>
        </w:rPr>
        <w:t>)</w:t>
      </w:r>
      <w:r w:rsidRPr="008F79F1">
        <w:rPr>
          <w:rFonts w:ascii="Arial" w:hAnsi="Arial" w:cs="Arial"/>
          <w:sz w:val="24"/>
          <w:szCs w:val="24"/>
          <w:lang w:val="en-GB"/>
        </w:rPr>
        <w:t xml:space="preserve">.  At the moment, all </w:t>
      </w:r>
      <w:r w:rsidR="0073724B" w:rsidRPr="008F79F1">
        <w:rPr>
          <w:rFonts w:ascii="Arial" w:hAnsi="Arial" w:cs="Arial"/>
          <w:sz w:val="24"/>
          <w:szCs w:val="24"/>
          <w:lang w:val="en-GB"/>
        </w:rPr>
        <w:t>Member States</w:t>
      </w:r>
      <w:r w:rsidRPr="008F79F1">
        <w:rPr>
          <w:rFonts w:ascii="Arial" w:hAnsi="Arial" w:cs="Arial"/>
          <w:sz w:val="24"/>
          <w:szCs w:val="24"/>
          <w:lang w:val="en-GB"/>
        </w:rPr>
        <w:t xml:space="preserve"> are deemed to be fulfilling th</w:t>
      </w:r>
      <w:r w:rsidR="0073724B" w:rsidRPr="008F79F1">
        <w:rPr>
          <w:rFonts w:ascii="Arial" w:hAnsi="Arial" w:cs="Arial"/>
          <w:sz w:val="24"/>
          <w:szCs w:val="24"/>
          <w:lang w:val="en-GB"/>
        </w:rPr>
        <w:t>ese</w:t>
      </w:r>
      <w:r w:rsidRPr="008F79F1">
        <w:rPr>
          <w:rFonts w:ascii="Arial" w:hAnsi="Arial" w:cs="Arial"/>
          <w:sz w:val="24"/>
          <w:szCs w:val="24"/>
          <w:lang w:val="en-GB"/>
        </w:rPr>
        <w:t xml:space="preserve"> condition</w:t>
      </w:r>
      <w:r w:rsidR="0073724B" w:rsidRPr="008F79F1">
        <w:rPr>
          <w:rFonts w:ascii="Arial" w:hAnsi="Arial" w:cs="Arial"/>
          <w:sz w:val="24"/>
          <w:szCs w:val="24"/>
          <w:lang w:val="en-GB"/>
        </w:rPr>
        <w:t>s</w:t>
      </w:r>
      <w:r w:rsidRPr="008F79F1">
        <w:rPr>
          <w:rFonts w:ascii="Arial" w:hAnsi="Arial" w:cs="Arial"/>
          <w:sz w:val="24"/>
          <w:szCs w:val="24"/>
          <w:lang w:val="en-GB"/>
        </w:rPr>
        <w:t xml:space="preserve">. The European Social Fund Plus Regulation also includes the objective to promote the transition to community-based living. </w:t>
      </w:r>
    </w:p>
    <w:p w14:paraId="75D3E9F4" w14:textId="7FBF9C34" w:rsidR="00D50D49" w:rsidRPr="008F79F1" w:rsidRDefault="00D50D49"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The </w:t>
      </w:r>
      <w:r w:rsidRPr="00B43EBF">
        <w:rPr>
          <w:rFonts w:ascii="Arial" w:hAnsi="Arial" w:cs="Arial"/>
          <w:sz w:val="24"/>
          <w:szCs w:val="24"/>
          <w:lang w:val="en-GB"/>
        </w:rPr>
        <w:t>European Union’s Strategy for the Rights of Persons with Disabilities 2021 – 2030</w:t>
      </w:r>
      <w:r w:rsidR="00B43EBF">
        <w:rPr>
          <w:rStyle w:val="Appelnotedebasdep"/>
          <w:rFonts w:ascii="Arial" w:hAnsi="Arial" w:cs="Arial"/>
          <w:sz w:val="24"/>
          <w:szCs w:val="24"/>
          <w:lang w:val="en-GB"/>
        </w:rPr>
        <w:footnoteReference w:id="5"/>
      </w:r>
      <w:r w:rsidRPr="008F79F1">
        <w:rPr>
          <w:rFonts w:ascii="Arial" w:hAnsi="Arial" w:cs="Arial"/>
          <w:sz w:val="24"/>
          <w:szCs w:val="24"/>
          <w:lang w:val="en-GB"/>
        </w:rPr>
        <w:t xml:space="preserve"> identifies “developing independent living and reinforcing community-based services” as one of the three priorities for the EU. It states that the “Commission will support national, regional and local authorities in their efforts for deinstitutionalisation and independent living, including through the 2021 – 2027 shared management funds”. </w:t>
      </w:r>
    </w:p>
    <w:p w14:paraId="5DC329B4" w14:textId="0175811F" w:rsidR="00D50D49" w:rsidRPr="008F79F1" w:rsidRDefault="00D50D49"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The European Union’s Strategy on the Rights of the Child and the </w:t>
      </w:r>
      <w:r w:rsidRPr="00B43EBF">
        <w:rPr>
          <w:rFonts w:ascii="Arial" w:hAnsi="Arial" w:cs="Arial"/>
          <w:sz w:val="24"/>
          <w:szCs w:val="24"/>
          <w:lang w:val="en-GB"/>
        </w:rPr>
        <w:t>Child Guarantee</w:t>
      </w:r>
      <w:r w:rsidR="00B43EBF">
        <w:rPr>
          <w:rStyle w:val="Appelnotedebasdep"/>
          <w:rFonts w:ascii="Arial" w:hAnsi="Arial" w:cs="Arial"/>
          <w:sz w:val="24"/>
          <w:szCs w:val="24"/>
          <w:lang w:val="en-GB"/>
        </w:rPr>
        <w:footnoteReference w:id="6"/>
      </w:r>
      <w:r w:rsidRPr="008F79F1">
        <w:rPr>
          <w:rFonts w:ascii="Arial" w:hAnsi="Arial" w:cs="Arial"/>
          <w:sz w:val="24"/>
          <w:szCs w:val="24"/>
          <w:lang w:val="en-GB"/>
        </w:rPr>
        <w:t xml:space="preserve"> focus, among other, on children in institutional care, and aim to facilitate the development of community-based and family-based care in the Member States. They stress the importance of prevention services for vulnerable children and families, with the aim of preventing the placement of children in institutional care. There is recognition that these objectives must be sufficiently funded by a range of EU funds.</w:t>
      </w:r>
    </w:p>
    <w:p w14:paraId="2323C62B" w14:textId="4DBFBC13" w:rsidR="00D50D49" w:rsidRPr="008F79F1" w:rsidRDefault="008B78CC" w:rsidP="00694DFA">
      <w:pPr>
        <w:spacing w:line="276" w:lineRule="auto"/>
        <w:jc w:val="both"/>
        <w:rPr>
          <w:rFonts w:ascii="Arial" w:hAnsi="Arial" w:cs="Arial"/>
          <w:sz w:val="24"/>
          <w:szCs w:val="24"/>
          <w:lang w:val="en-GB"/>
        </w:rPr>
      </w:pPr>
      <w:r w:rsidRPr="008F79F1">
        <w:rPr>
          <w:rFonts w:ascii="Arial" w:hAnsi="Arial" w:cs="Arial"/>
          <w:sz w:val="24"/>
          <w:szCs w:val="24"/>
          <w:lang w:val="en-GB"/>
        </w:rPr>
        <w:t>T</w:t>
      </w:r>
      <w:r w:rsidR="00D50D49" w:rsidRPr="008F79F1">
        <w:rPr>
          <w:rFonts w:ascii="Arial" w:hAnsi="Arial" w:cs="Arial"/>
          <w:sz w:val="24"/>
          <w:szCs w:val="24"/>
          <w:lang w:val="en-GB"/>
        </w:rPr>
        <w:t xml:space="preserve">he </w:t>
      </w:r>
      <w:r w:rsidR="00D50D49" w:rsidRPr="00B43EBF">
        <w:rPr>
          <w:rFonts w:ascii="Arial" w:hAnsi="Arial" w:cs="Arial"/>
          <w:sz w:val="24"/>
          <w:szCs w:val="24"/>
          <w:lang w:val="en-GB"/>
        </w:rPr>
        <w:t>Guidance on independent living for persons with disabilities to live independently and to be included in the community</w:t>
      </w:r>
      <w:r w:rsidR="00B43EBF">
        <w:rPr>
          <w:rStyle w:val="Appelnotedebasdep"/>
          <w:rFonts w:ascii="Arial" w:hAnsi="Arial" w:cs="Arial"/>
          <w:sz w:val="24"/>
          <w:szCs w:val="24"/>
          <w:lang w:val="en-GB"/>
        </w:rPr>
        <w:footnoteReference w:id="7"/>
      </w:r>
      <w:r w:rsidR="00D50D49" w:rsidRPr="008F79F1">
        <w:rPr>
          <w:rFonts w:ascii="Arial" w:hAnsi="Arial" w:cs="Arial"/>
          <w:sz w:val="24"/>
          <w:szCs w:val="24"/>
          <w:lang w:val="en-GB"/>
        </w:rPr>
        <w:t xml:space="preserve"> </w:t>
      </w:r>
      <w:r w:rsidRPr="008F79F1">
        <w:rPr>
          <w:rFonts w:ascii="Arial" w:hAnsi="Arial" w:cs="Arial"/>
          <w:sz w:val="24"/>
          <w:szCs w:val="24"/>
          <w:lang w:val="en-GB"/>
        </w:rPr>
        <w:t xml:space="preserve">was published </w:t>
      </w:r>
      <w:r w:rsidR="00D50D49" w:rsidRPr="008F79F1">
        <w:rPr>
          <w:rFonts w:ascii="Arial" w:hAnsi="Arial" w:cs="Arial"/>
          <w:sz w:val="24"/>
          <w:szCs w:val="24"/>
          <w:lang w:val="en-GB"/>
        </w:rPr>
        <w:t>by the European Commission in November 2024</w:t>
      </w:r>
      <w:r w:rsidRPr="008F79F1">
        <w:rPr>
          <w:rFonts w:ascii="Arial" w:hAnsi="Arial" w:cs="Arial"/>
          <w:sz w:val="24"/>
          <w:szCs w:val="24"/>
          <w:lang w:val="en-GB"/>
        </w:rPr>
        <w:t xml:space="preserve">, to ensure that the Managing Authorities comply with the requirements of the UNCRPD. The Guidance </w:t>
      </w:r>
      <w:r w:rsidR="00F91233" w:rsidRPr="008F79F1">
        <w:rPr>
          <w:rFonts w:ascii="Arial" w:hAnsi="Arial" w:cs="Arial"/>
          <w:sz w:val="24"/>
          <w:szCs w:val="24"/>
          <w:lang w:val="en-GB"/>
        </w:rPr>
        <w:t>is based on</w:t>
      </w:r>
      <w:r w:rsidR="00D50D49" w:rsidRPr="008F79F1">
        <w:rPr>
          <w:rFonts w:ascii="Arial" w:hAnsi="Arial" w:cs="Arial"/>
          <w:sz w:val="24"/>
          <w:szCs w:val="24"/>
          <w:lang w:val="en-GB"/>
        </w:rPr>
        <w:t xml:space="preserve"> the UNCRPD, the </w:t>
      </w:r>
      <w:r w:rsidR="00D50D49" w:rsidRPr="00B43EBF">
        <w:rPr>
          <w:rFonts w:ascii="Arial" w:hAnsi="Arial" w:cs="Arial"/>
          <w:sz w:val="24"/>
          <w:szCs w:val="24"/>
          <w:lang w:val="en-GB"/>
        </w:rPr>
        <w:t>General Comment 5</w:t>
      </w:r>
      <w:r w:rsidR="00B43EBF">
        <w:rPr>
          <w:rStyle w:val="Appelnotedebasdep"/>
          <w:rFonts w:ascii="Arial" w:hAnsi="Arial" w:cs="Arial"/>
          <w:sz w:val="24"/>
          <w:szCs w:val="24"/>
          <w:lang w:val="en-GB"/>
        </w:rPr>
        <w:footnoteReference w:id="8"/>
      </w:r>
      <w:r w:rsidR="00D50D49" w:rsidRPr="008F79F1">
        <w:rPr>
          <w:rFonts w:ascii="Arial" w:hAnsi="Arial" w:cs="Arial"/>
          <w:sz w:val="24"/>
          <w:szCs w:val="24"/>
          <w:lang w:val="en-GB"/>
        </w:rPr>
        <w:t xml:space="preserve"> and the </w:t>
      </w:r>
      <w:r w:rsidR="00D50D49" w:rsidRPr="00B43EBF">
        <w:rPr>
          <w:rFonts w:ascii="Arial" w:hAnsi="Arial" w:cs="Arial"/>
          <w:sz w:val="24"/>
          <w:szCs w:val="24"/>
          <w:lang w:val="en-GB"/>
        </w:rPr>
        <w:t>Guidelines on deinstitutionalisation, including in Emergencies</w:t>
      </w:r>
      <w:r w:rsidR="00B43EBF">
        <w:rPr>
          <w:rStyle w:val="Appelnotedebasdep"/>
          <w:rFonts w:ascii="Arial" w:hAnsi="Arial" w:cs="Arial"/>
          <w:sz w:val="24"/>
          <w:szCs w:val="24"/>
          <w:lang w:val="en-GB"/>
        </w:rPr>
        <w:footnoteReference w:id="9"/>
      </w:r>
      <w:r w:rsidR="00D50D49" w:rsidRPr="008F79F1">
        <w:rPr>
          <w:rFonts w:ascii="Arial" w:hAnsi="Arial" w:cs="Arial"/>
          <w:sz w:val="24"/>
          <w:szCs w:val="24"/>
          <w:lang w:val="en-GB"/>
        </w:rPr>
        <w:t>.</w:t>
      </w:r>
    </w:p>
    <w:p w14:paraId="2E76290D" w14:textId="263DBFCE" w:rsidR="00D50D49" w:rsidRPr="008F79F1" w:rsidRDefault="00D50D49" w:rsidP="00694DFA">
      <w:pPr>
        <w:spacing w:line="276" w:lineRule="auto"/>
        <w:jc w:val="both"/>
        <w:rPr>
          <w:rFonts w:ascii="Arial" w:hAnsi="Arial" w:cs="Arial"/>
          <w:sz w:val="24"/>
          <w:szCs w:val="24"/>
          <w:lang w:val="en-GB"/>
        </w:rPr>
      </w:pPr>
      <w:r w:rsidRPr="008F79F1">
        <w:rPr>
          <w:rFonts w:ascii="Arial" w:hAnsi="Arial" w:cs="Arial"/>
          <w:sz w:val="24"/>
          <w:szCs w:val="24"/>
          <w:lang w:val="en-GB"/>
        </w:rPr>
        <w:lastRenderedPageBreak/>
        <w:t>The Guidance</w:t>
      </w:r>
      <w:r w:rsidR="008B78CC" w:rsidRPr="008F79F1">
        <w:rPr>
          <w:rFonts w:ascii="Arial" w:hAnsi="Arial" w:cs="Arial"/>
          <w:sz w:val="24"/>
          <w:szCs w:val="24"/>
          <w:lang w:val="en-GB"/>
        </w:rPr>
        <w:t xml:space="preserve"> </w:t>
      </w:r>
      <w:r w:rsidR="00B43EBF">
        <w:rPr>
          <w:rFonts w:ascii="Arial" w:hAnsi="Arial" w:cs="Arial"/>
          <w:sz w:val="24"/>
          <w:szCs w:val="24"/>
          <w:lang w:val="en-GB"/>
        </w:rPr>
        <w:t>highlights</w:t>
      </w:r>
      <w:r w:rsidR="008B78CC" w:rsidRPr="008F79F1">
        <w:rPr>
          <w:rFonts w:ascii="Arial" w:hAnsi="Arial" w:cs="Arial"/>
          <w:sz w:val="24"/>
          <w:szCs w:val="24"/>
          <w:lang w:val="en-GB"/>
        </w:rPr>
        <w:t xml:space="preserve"> specialised support services, such as personal assistance, and mainstream services, such as accessible housing</w:t>
      </w:r>
      <w:r w:rsidR="00C17DAA" w:rsidRPr="008F79F1">
        <w:rPr>
          <w:rFonts w:ascii="Arial" w:hAnsi="Arial" w:cs="Arial"/>
          <w:sz w:val="24"/>
          <w:szCs w:val="24"/>
          <w:lang w:val="en-GB"/>
        </w:rPr>
        <w:t xml:space="preserve"> and inclusive education</w:t>
      </w:r>
      <w:r w:rsidR="008B78CC" w:rsidRPr="008F79F1">
        <w:rPr>
          <w:rFonts w:ascii="Arial" w:hAnsi="Arial" w:cs="Arial"/>
          <w:sz w:val="24"/>
          <w:szCs w:val="24"/>
          <w:lang w:val="en-GB"/>
        </w:rPr>
        <w:t>, that should be funded</w:t>
      </w:r>
      <w:r w:rsidR="00C17DAA" w:rsidRPr="008F79F1">
        <w:rPr>
          <w:rFonts w:ascii="Arial" w:hAnsi="Arial" w:cs="Arial"/>
          <w:sz w:val="24"/>
          <w:szCs w:val="24"/>
          <w:lang w:val="en-GB"/>
        </w:rPr>
        <w:t xml:space="preserve"> by the EU</w:t>
      </w:r>
      <w:r w:rsidR="008B78CC" w:rsidRPr="008F79F1">
        <w:rPr>
          <w:rFonts w:ascii="Arial" w:hAnsi="Arial" w:cs="Arial"/>
          <w:sz w:val="24"/>
          <w:szCs w:val="24"/>
          <w:lang w:val="en-GB"/>
        </w:rPr>
        <w:t xml:space="preserve">. It </w:t>
      </w:r>
      <w:r w:rsidR="00C17DAA" w:rsidRPr="008F79F1">
        <w:rPr>
          <w:rFonts w:ascii="Arial" w:hAnsi="Arial" w:cs="Arial"/>
          <w:sz w:val="24"/>
          <w:szCs w:val="24"/>
          <w:lang w:val="en-GB"/>
        </w:rPr>
        <w:t>advises</w:t>
      </w:r>
      <w:r w:rsidRPr="008F79F1">
        <w:rPr>
          <w:rFonts w:ascii="Arial" w:hAnsi="Arial" w:cs="Arial"/>
          <w:sz w:val="24"/>
          <w:szCs w:val="24"/>
          <w:lang w:val="en-GB"/>
        </w:rPr>
        <w:t xml:space="preserve"> against </w:t>
      </w:r>
      <w:r w:rsidR="00C17DAA" w:rsidRPr="008F79F1">
        <w:rPr>
          <w:rFonts w:ascii="Arial" w:hAnsi="Arial" w:cs="Arial"/>
          <w:sz w:val="24"/>
          <w:szCs w:val="24"/>
          <w:lang w:val="en-GB"/>
        </w:rPr>
        <w:t xml:space="preserve">funding institutions for persons with disabilities or </w:t>
      </w:r>
      <w:r w:rsidRPr="008F79F1">
        <w:rPr>
          <w:rFonts w:ascii="Arial" w:hAnsi="Arial" w:cs="Arial"/>
          <w:sz w:val="24"/>
          <w:szCs w:val="24"/>
          <w:lang w:val="en-GB"/>
        </w:rPr>
        <w:t xml:space="preserve">replacing large institutions with </w:t>
      </w:r>
      <w:r w:rsidR="00C17DAA" w:rsidRPr="008F79F1">
        <w:rPr>
          <w:rFonts w:ascii="Arial" w:hAnsi="Arial" w:cs="Arial"/>
          <w:sz w:val="24"/>
          <w:szCs w:val="24"/>
          <w:lang w:val="en-GB"/>
        </w:rPr>
        <w:t>small</w:t>
      </w:r>
      <w:r w:rsidRPr="008F79F1">
        <w:rPr>
          <w:rFonts w:ascii="Arial" w:hAnsi="Arial" w:cs="Arial"/>
          <w:sz w:val="24"/>
          <w:szCs w:val="24"/>
          <w:lang w:val="en-GB"/>
        </w:rPr>
        <w:t xml:space="preserve"> group homes</w:t>
      </w:r>
      <w:r w:rsidR="00C17DAA" w:rsidRPr="008F79F1">
        <w:rPr>
          <w:rFonts w:ascii="Arial" w:hAnsi="Arial" w:cs="Arial"/>
          <w:sz w:val="24"/>
          <w:szCs w:val="24"/>
          <w:lang w:val="en-GB"/>
        </w:rPr>
        <w:t>.</w:t>
      </w:r>
    </w:p>
    <w:p w14:paraId="0611B1DE" w14:textId="4D154ED2" w:rsidR="00D50D49" w:rsidRPr="008F79F1" w:rsidRDefault="00C17DAA" w:rsidP="00694DFA">
      <w:pPr>
        <w:spacing w:line="276" w:lineRule="auto"/>
        <w:jc w:val="both"/>
        <w:rPr>
          <w:rFonts w:ascii="Arial" w:hAnsi="Arial" w:cs="Arial"/>
          <w:sz w:val="24"/>
          <w:szCs w:val="24"/>
          <w:lang w:val="en-GB"/>
        </w:rPr>
      </w:pPr>
      <w:r w:rsidRPr="008F79F1">
        <w:rPr>
          <w:rFonts w:ascii="Arial" w:hAnsi="Arial" w:cs="Arial"/>
          <w:sz w:val="24"/>
          <w:szCs w:val="24"/>
          <w:lang w:val="en-GB"/>
        </w:rPr>
        <w:t>Some</w:t>
      </w:r>
      <w:r w:rsidR="00D50D49" w:rsidRPr="008F79F1">
        <w:rPr>
          <w:rFonts w:ascii="Arial" w:hAnsi="Arial" w:cs="Arial"/>
          <w:sz w:val="24"/>
          <w:szCs w:val="24"/>
          <w:lang w:val="en-GB"/>
        </w:rPr>
        <w:t xml:space="preserve"> Operational Programm</w:t>
      </w:r>
      <w:r w:rsidR="00B43EBF">
        <w:rPr>
          <w:rFonts w:ascii="Arial" w:hAnsi="Arial" w:cs="Arial"/>
          <w:sz w:val="24"/>
          <w:szCs w:val="24"/>
          <w:lang w:val="en-GB"/>
        </w:rPr>
        <w:t>es</w:t>
      </w:r>
      <w:r w:rsidR="00D50D49" w:rsidRPr="008F79F1">
        <w:rPr>
          <w:rFonts w:ascii="Arial" w:hAnsi="Arial" w:cs="Arial"/>
          <w:sz w:val="24"/>
          <w:szCs w:val="24"/>
          <w:lang w:val="en-GB"/>
        </w:rPr>
        <w:t xml:space="preserve"> (OP</w:t>
      </w:r>
      <w:r w:rsidR="00B43EBF">
        <w:rPr>
          <w:rFonts w:ascii="Arial" w:hAnsi="Arial" w:cs="Arial"/>
          <w:sz w:val="24"/>
          <w:szCs w:val="24"/>
          <w:lang w:val="en-GB"/>
        </w:rPr>
        <w:t>s</w:t>
      </w:r>
      <w:r w:rsidR="00D50D49" w:rsidRPr="008F79F1">
        <w:rPr>
          <w:rFonts w:ascii="Arial" w:hAnsi="Arial" w:cs="Arial"/>
          <w:sz w:val="24"/>
          <w:szCs w:val="24"/>
          <w:lang w:val="en-GB"/>
        </w:rPr>
        <w:t>)</w:t>
      </w:r>
      <w:r w:rsidRPr="008F79F1">
        <w:rPr>
          <w:rFonts w:ascii="Arial" w:hAnsi="Arial" w:cs="Arial"/>
          <w:sz w:val="24"/>
          <w:szCs w:val="24"/>
          <w:lang w:val="en-GB"/>
        </w:rPr>
        <w:t xml:space="preserve"> for 2021 – 2027 translated these principles into </w:t>
      </w:r>
      <w:r w:rsidR="00542A0B" w:rsidRPr="008F79F1">
        <w:rPr>
          <w:rFonts w:ascii="Arial" w:hAnsi="Arial" w:cs="Arial"/>
          <w:sz w:val="24"/>
          <w:szCs w:val="24"/>
          <w:lang w:val="en-GB"/>
        </w:rPr>
        <w:t xml:space="preserve">the </w:t>
      </w:r>
      <w:r w:rsidRPr="008F79F1">
        <w:rPr>
          <w:rFonts w:ascii="Arial" w:hAnsi="Arial" w:cs="Arial"/>
          <w:sz w:val="24"/>
          <w:szCs w:val="24"/>
          <w:lang w:val="en-GB"/>
        </w:rPr>
        <w:t xml:space="preserve">planned </w:t>
      </w:r>
      <w:r w:rsidR="00542A0B" w:rsidRPr="008F79F1">
        <w:rPr>
          <w:rFonts w:ascii="Arial" w:hAnsi="Arial" w:cs="Arial"/>
          <w:sz w:val="24"/>
          <w:szCs w:val="24"/>
          <w:lang w:val="en-GB"/>
        </w:rPr>
        <w:t xml:space="preserve">investment </w:t>
      </w:r>
      <w:r w:rsidRPr="008F79F1">
        <w:rPr>
          <w:rFonts w:ascii="Arial" w:hAnsi="Arial" w:cs="Arial"/>
          <w:sz w:val="24"/>
          <w:szCs w:val="24"/>
          <w:lang w:val="en-GB"/>
        </w:rPr>
        <w:t>measures. For</w:t>
      </w:r>
      <w:r w:rsidR="00542A0B" w:rsidRPr="008F79F1">
        <w:rPr>
          <w:rFonts w:ascii="Arial" w:hAnsi="Arial" w:cs="Arial"/>
          <w:sz w:val="24"/>
          <w:szCs w:val="24"/>
          <w:lang w:val="en-GB"/>
        </w:rPr>
        <w:t xml:space="preserve"> example, a Portuguese OP includes</w:t>
      </w:r>
      <w:r w:rsidRPr="008F79F1">
        <w:rPr>
          <w:rFonts w:ascii="Arial" w:hAnsi="Arial" w:cs="Arial"/>
          <w:sz w:val="24"/>
          <w:szCs w:val="24"/>
          <w:lang w:val="en-GB"/>
        </w:rPr>
        <w:t xml:space="preserve"> </w:t>
      </w:r>
      <w:r w:rsidR="00D50D49" w:rsidRPr="008F79F1">
        <w:rPr>
          <w:rFonts w:ascii="Arial" w:hAnsi="Arial" w:cs="Arial"/>
          <w:sz w:val="24"/>
          <w:szCs w:val="24"/>
          <w:lang w:val="en-GB"/>
        </w:rPr>
        <w:t xml:space="preserve">references to the horizontal principles of the Charter, the UNCRPD (including </w:t>
      </w:r>
      <w:r w:rsidR="00542A0B" w:rsidRPr="008F79F1">
        <w:rPr>
          <w:rFonts w:ascii="Arial" w:hAnsi="Arial" w:cs="Arial"/>
          <w:sz w:val="24"/>
          <w:szCs w:val="24"/>
          <w:lang w:val="en-GB"/>
        </w:rPr>
        <w:t xml:space="preserve">recommendations of </w:t>
      </w:r>
      <w:r w:rsidR="00D50D49" w:rsidRPr="008F79F1">
        <w:rPr>
          <w:rFonts w:ascii="Arial" w:hAnsi="Arial" w:cs="Arial"/>
          <w:sz w:val="24"/>
          <w:szCs w:val="24"/>
          <w:lang w:val="en-GB"/>
        </w:rPr>
        <w:t xml:space="preserve">the </w:t>
      </w:r>
      <w:r w:rsidR="00542A0B" w:rsidRPr="008F79F1">
        <w:rPr>
          <w:rFonts w:ascii="Arial" w:hAnsi="Arial" w:cs="Arial"/>
          <w:sz w:val="24"/>
          <w:szCs w:val="24"/>
          <w:lang w:val="en-GB"/>
        </w:rPr>
        <w:t>CRPD</w:t>
      </w:r>
      <w:r w:rsidR="00D50D49" w:rsidRPr="008F79F1">
        <w:rPr>
          <w:rFonts w:ascii="Arial" w:hAnsi="Arial" w:cs="Arial"/>
          <w:sz w:val="24"/>
          <w:szCs w:val="24"/>
          <w:lang w:val="en-GB"/>
        </w:rPr>
        <w:t xml:space="preserve"> Committee), and the EU Strategy on the Rights of Persons with Disabilities. Some </w:t>
      </w:r>
      <w:r w:rsidR="00B43EBF">
        <w:rPr>
          <w:rFonts w:ascii="Arial" w:hAnsi="Arial" w:cs="Arial"/>
          <w:sz w:val="24"/>
          <w:szCs w:val="24"/>
          <w:lang w:val="en-GB"/>
        </w:rPr>
        <w:t>OPs</w:t>
      </w:r>
      <w:r w:rsidR="00D50D49" w:rsidRPr="008F79F1">
        <w:rPr>
          <w:rFonts w:ascii="Arial" w:hAnsi="Arial" w:cs="Arial"/>
          <w:sz w:val="24"/>
          <w:szCs w:val="24"/>
          <w:lang w:val="en-GB"/>
        </w:rPr>
        <w:t xml:space="preserve"> clarify that they do not support any investments that contribute to segregation or that promote backsliding in the </w:t>
      </w:r>
      <w:r w:rsidR="00542A0B" w:rsidRPr="008F79F1">
        <w:rPr>
          <w:rFonts w:ascii="Arial" w:hAnsi="Arial" w:cs="Arial"/>
          <w:sz w:val="24"/>
          <w:szCs w:val="24"/>
          <w:lang w:val="en-GB"/>
        </w:rPr>
        <w:t xml:space="preserve">process of </w:t>
      </w:r>
      <w:r w:rsidR="00D50D49" w:rsidRPr="008F79F1">
        <w:rPr>
          <w:rFonts w:ascii="Arial" w:hAnsi="Arial" w:cs="Arial"/>
          <w:sz w:val="24"/>
          <w:szCs w:val="24"/>
          <w:lang w:val="en-GB"/>
        </w:rPr>
        <w:t>deinstitutionalisation, or to the need to promote deinstitutionali</w:t>
      </w:r>
      <w:r w:rsidR="00542A0B" w:rsidRPr="008F79F1">
        <w:rPr>
          <w:rFonts w:ascii="Arial" w:hAnsi="Arial" w:cs="Arial"/>
          <w:sz w:val="24"/>
          <w:szCs w:val="24"/>
          <w:lang w:val="en-GB"/>
        </w:rPr>
        <w:t>s</w:t>
      </w:r>
      <w:r w:rsidR="00D50D49" w:rsidRPr="008F79F1">
        <w:rPr>
          <w:rFonts w:ascii="Arial" w:hAnsi="Arial" w:cs="Arial"/>
          <w:sz w:val="24"/>
          <w:szCs w:val="24"/>
          <w:lang w:val="en-GB"/>
        </w:rPr>
        <w:t xml:space="preserve">ation efforts, the </w:t>
      </w:r>
      <w:r w:rsidR="00542A0B" w:rsidRPr="008F79F1">
        <w:rPr>
          <w:rFonts w:ascii="Arial" w:hAnsi="Arial" w:cs="Arial"/>
          <w:sz w:val="24"/>
          <w:szCs w:val="24"/>
          <w:lang w:val="en-GB"/>
        </w:rPr>
        <w:t>development</w:t>
      </w:r>
      <w:r w:rsidR="00D50D49" w:rsidRPr="008F79F1">
        <w:rPr>
          <w:rFonts w:ascii="Arial" w:hAnsi="Arial" w:cs="Arial"/>
          <w:sz w:val="24"/>
          <w:szCs w:val="24"/>
          <w:lang w:val="en-GB"/>
        </w:rPr>
        <w:t xml:space="preserve"> of community-based services, and the obligation to not promote segregation and avoid reversing deinstitutionalization efforts. </w:t>
      </w:r>
      <w:r w:rsidR="00D50D49" w:rsidRPr="008F79F1">
        <w:rPr>
          <w:rStyle w:val="Appelnotedebasdep"/>
          <w:rFonts w:ascii="Arial" w:hAnsi="Arial" w:cs="Arial"/>
          <w:sz w:val="24"/>
          <w:szCs w:val="24"/>
          <w:lang w:val="en-GB"/>
        </w:rPr>
        <w:footnoteReference w:id="10"/>
      </w:r>
    </w:p>
    <w:p w14:paraId="6FE13277" w14:textId="4412E723" w:rsidR="00D50D49" w:rsidRPr="008F79F1" w:rsidRDefault="00542A0B"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Among the good practices from the current programming period is the </w:t>
      </w:r>
      <w:r w:rsidR="00D50D49" w:rsidRPr="008F79F1">
        <w:rPr>
          <w:rFonts w:ascii="Arial" w:hAnsi="Arial" w:cs="Arial"/>
          <w:sz w:val="24"/>
          <w:szCs w:val="24"/>
          <w:lang w:val="en-GB"/>
        </w:rPr>
        <w:t xml:space="preserve">programme on personal assistance, the </w:t>
      </w:r>
      <w:r w:rsidR="00D50D49" w:rsidRPr="00B43EBF">
        <w:rPr>
          <w:rFonts w:ascii="Arial" w:hAnsi="Arial" w:cs="Arial"/>
          <w:sz w:val="24"/>
          <w:szCs w:val="24"/>
          <w:lang w:val="en-GB"/>
        </w:rPr>
        <w:t>Independent Living Support Model</w:t>
      </w:r>
      <w:r w:rsidR="00D50D49" w:rsidRPr="008F79F1">
        <w:rPr>
          <w:rFonts w:ascii="Arial" w:hAnsi="Arial" w:cs="Arial"/>
          <w:sz w:val="24"/>
          <w:szCs w:val="24"/>
          <w:lang w:val="en-GB"/>
        </w:rPr>
        <w:t xml:space="preserve"> (MAVI, per its initials in Portuguese)</w:t>
      </w:r>
      <w:r w:rsidR="00B43EBF">
        <w:rPr>
          <w:rStyle w:val="Appelnotedebasdep"/>
          <w:rFonts w:ascii="Arial" w:hAnsi="Arial" w:cs="Arial"/>
          <w:sz w:val="24"/>
          <w:szCs w:val="24"/>
          <w:lang w:val="en-GB"/>
        </w:rPr>
        <w:footnoteReference w:id="11"/>
      </w:r>
      <w:r w:rsidRPr="008F79F1">
        <w:rPr>
          <w:rFonts w:ascii="Arial" w:hAnsi="Arial" w:cs="Arial"/>
          <w:sz w:val="24"/>
          <w:szCs w:val="24"/>
          <w:lang w:val="en-GB"/>
        </w:rPr>
        <w:t>, supported by the European Social Fund Plus.</w:t>
      </w:r>
      <w:r w:rsidR="00D50D49" w:rsidRPr="008F79F1">
        <w:rPr>
          <w:rFonts w:ascii="Arial" w:hAnsi="Arial" w:cs="Arial"/>
          <w:sz w:val="24"/>
          <w:szCs w:val="24"/>
          <w:lang w:val="en-GB"/>
        </w:rPr>
        <w:t xml:space="preserve"> MAVI has been implemented by the </w:t>
      </w:r>
      <w:proofErr w:type="spellStart"/>
      <w:r w:rsidR="00D50D49" w:rsidRPr="008F79F1">
        <w:rPr>
          <w:rFonts w:ascii="Arial" w:hAnsi="Arial" w:cs="Arial"/>
          <w:sz w:val="24"/>
          <w:szCs w:val="24"/>
          <w:lang w:val="en-GB"/>
        </w:rPr>
        <w:t>Centers</w:t>
      </w:r>
      <w:proofErr w:type="spellEnd"/>
      <w:r w:rsidR="00D50D49" w:rsidRPr="008F79F1">
        <w:rPr>
          <w:rFonts w:ascii="Arial" w:hAnsi="Arial" w:cs="Arial"/>
          <w:sz w:val="24"/>
          <w:szCs w:val="24"/>
          <w:lang w:val="en-GB"/>
        </w:rPr>
        <w:t xml:space="preserve"> of Independent Living in </w:t>
      </w:r>
      <w:r w:rsidRPr="008F79F1">
        <w:rPr>
          <w:rFonts w:ascii="Arial" w:hAnsi="Arial" w:cs="Arial"/>
          <w:sz w:val="24"/>
          <w:szCs w:val="24"/>
          <w:lang w:val="en-GB"/>
        </w:rPr>
        <w:t>Portugal and</w:t>
      </w:r>
      <w:r w:rsidR="00D50D49" w:rsidRPr="008F79F1">
        <w:rPr>
          <w:rFonts w:ascii="Arial" w:hAnsi="Arial" w:cs="Arial"/>
          <w:sz w:val="24"/>
          <w:szCs w:val="24"/>
          <w:lang w:val="en-GB"/>
        </w:rPr>
        <w:t xml:space="preserve"> </w:t>
      </w:r>
      <w:r w:rsidRPr="008F79F1">
        <w:rPr>
          <w:rFonts w:ascii="Arial" w:hAnsi="Arial" w:cs="Arial"/>
          <w:sz w:val="24"/>
          <w:szCs w:val="24"/>
          <w:lang w:val="en-GB"/>
        </w:rPr>
        <w:t>has had a positive</w:t>
      </w:r>
      <w:r w:rsidR="00D50D49" w:rsidRPr="008F79F1">
        <w:rPr>
          <w:rFonts w:ascii="Arial" w:hAnsi="Arial" w:cs="Arial"/>
          <w:sz w:val="24"/>
          <w:szCs w:val="24"/>
          <w:lang w:val="en-GB"/>
        </w:rPr>
        <w:t xml:space="preserve"> impact on the right to independent living</w:t>
      </w:r>
      <w:r w:rsidRPr="008F79F1">
        <w:rPr>
          <w:rFonts w:ascii="Arial" w:hAnsi="Arial" w:cs="Arial"/>
          <w:sz w:val="24"/>
          <w:szCs w:val="24"/>
          <w:lang w:val="en-GB"/>
        </w:rPr>
        <w:t xml:space="preserve"> of persons with disabilities</w:t>
      </w:r>
      <w:r w:rsidR="00D50D49" w:rsidRPr="008F79F1">
        <w:rPr>
          <w:rFonts w:ascii="Arial" w:hAnsi="Arial" w:cs="Arial"/>
          <w:sz w:val="24"/>
          <w:szCs w:val="24"/>
          <w:lang w:val="en-GB"/>
        </w:rPr>
        <w:t xml:space="preserve">. </w:t>
      </w:r>
      <w:r w:rsidRPr="008F79F1">
        <w:rPr>
          <w:rFonts w:ascii="Arial" w:hAnsi="Arial" w:cs="Arial"/>
          <w:sz w:val="24"/>
          <w:szCs w:val="24"/>
          <w:lang w:val="en-GB"/>
        </w:rPr>
        <w:t>Several other OPs</w:t>
      </w:r>
      <w:r w:rsidR="00D50D49" w:rsidRPr="008F79F1">
        <w:rPr>
          <w:rFonts w:ascii="Arial" w:hAnsi="Arial" w:cs="Arial"/>
          <w:sz w:val="24"/>
          <w:szCs w:val="24"/>
          <w:lang w:val="en-GB"/>
        </w:rPr>
        <w:t xml:space="preserve"> refer to the promotion of community-based services, accessibility of the environment, investments in inclusive education for disabled learners, the reduction of the employment gap, the empowerment of civil society, or the improvement of participation of </w:t>
      </w:r>
      <w:r w:rsidR="00D825AB">
        <w:rPr>
          <w:rFonts w:ascii="Arial" w:hAnsi="Arial" w:cs="Arial"/>
          <w:sz w:val="24"/>
          <w:szCs w:val="24"/>
          <w:lang w:val="en-GB"/>
        </w:rPr>
        <w:t>persons with disabilities</w:t>
      </w:r>
      <w:r w:rsidR="00D50D49" w:rsidRPr="008F79F1">
        <w:rPr>
          <w:rFonts w:ascii="Arial" w:hAnsi="Arial" w:cs="Arial"/>
          <w:sz w:val="24"/>
          <w:szCs w:val="24"/>
          <w:lang w:val="en-GB"/>
        </w:rPr>
        <w:t xml:space="preserve"> in society.</w:t>
      </w:r>
      <w:r w:rsidRPr="008F79F1">
        <w:rPr>
          <w:rFonts w:ascii="Arial" w:hAnsi="Arial" w:cs="Arial"/>
          <w:sz w:val="24"/>
          <w:szCs w:val="24"/>
          <w:lang w:val="en-GB"/>
        </w:rPr>
        <w:t xml:space="preserve"> Such good practices should be continued and upscaled in the future EU budget.</w:t>
      </w:r>
    </w:p>
    <w:p w14:paraId="4124A41F" w14:textId="45DC6DC3" w:rsidR="0034664F" w:rsidRPr="008F79F1" w:rsidRDefault="00C7322D" w:rsidP="00694DFA">
      <w:pPr>
        <w:pStyle w:val="Titre1"/>
        <w:spacing w:line="276" w:lineRule="auto"/>
        <w:jc w:val="both"/>
        <w:rPr>
          <w:rFonts w:ascii="Helvetica" w:hAnsi="Helvetica"/>
          <w:b/>
          <w:bCs/>
          <w:sz w:val="32"/>
          <w:szCs w:val="32"/>
          <w:lang w:val="en-GB"/>
        </w:rPr>
      </w:pPr>
      <w:bookmarkStart w:id="2" w:name="_Toc196926852"/>
      <w:r w:rsidRPr="008F79F1">
        <w:rPr>
          <w:rFonts w:ascii="Helvetica" w:hAnsi="Helvetica"/>
          <w:b/>
          <w:bCs/>
          <w:sz w:val="32"/>
          <w:szCs w:val="32"/>
          <w:lang w:val="en-GB"/>
        </w:rPr>
        <w:t>Areas for improvement in the implementation of EU funds</w:t>
      </w:r>
      <w:bookmarkEnd w:id="2"/>
    </w:p>
    <w:p w14:paraId="39BFEDFF" w14:textId="31F79FED" w:rsidR="00551E40" w:rsidRPr="008F79F1" w:rsidRDefault="00C7322D" w:rsidP="00541E9E">
      <w:pPr>
        <w:spacing w:line="276" w:lineRule="auto"/>
        <w:rPr>
          <w:rFonts w:ascii="Arial" w:hAnsi="Arial" w:cs="Arial"/>
          <w:sz w:val="24"/>
          <w:szCs w:val="24"/>
          <w:lang w:val="en-GB"/>
        </w:rPr>
      </w:pPr>
      <w:r w:rsidRPr="008F79F1">
        <w:rPr>
          <w:rFonts w:ascii="Arial" w:hAnsi="Arial" w:cs="Arial"/>
          <w:sz w:val="24"/>
          <w:szCs w:val="24"/>
          <w:lang w:val="en-GB"/>
        </w:rPr>
        <w:t xml:space="preserve">Despite </w:t>
      </w:r>
      <w:r w:rsidR="00D65CF1" w:rsidRPr="008F79F1">
        <w:rPr>
          <w:rFonts w:ascii="Arial" w:hAnsi="Arial" w:cs="Arial"/>
          <w:sz w:val="24"/>
          <w:szCs w:val="24"/>
          <w:lang w:val="en-GB"/>
        </w:rPr>
        <w:t>the</w:t>
      </w:r>
      <w:r w:rsidR="00542A0B" w:rsidRPr="008F79F1">
        <w:rPr>
          <w:rFonts w:ascii="Arial" w:hAnsi="Arial" w:cs="Arial"/>
          <w:sz w:val="24"/>
          <w:szCs w:val="24"/>
          <w:lang w:val="en-GB"/>
        </w:rPr>
        <w:t xml:space="preserve"> positive effect of the current funding period</w:t>
      </w:r>
      <w:r w:rsidRPr="008F79F1">
        <w:rPr>
          <w:rFonts w:ascii="Arial" w:hAnsi="Arial" w:cs="Arial"/>
          <w:sz w:val="24"/>
          <w:szCs w:val="24"/>
          <w:lang w:val="en-GB"/>
        </w:rPr>
        <w:t>,</w:t>
      </w:r>
      <w:r w:rsidR="00D65CF1" w:rsidRPr="008F79F1">
        <w:rPr>
          <w:rFonts w:ascii="Arial" w:hAnsi="Arial" w:cs="Arial"/>
          <w:sz w:val="24"/>
          <w:szCs w:val="24"/>
          <w:lang w:val="en-GB"/>
        </w:rPr>
        <w:t xml:space="preserve"> the European Court of Audits concluded that “the impact of EU actions supporting persons with disabilities was limited”</w:t>
      </w:r>
      <w:r w:rsidR="00551E40" w:rsidRPr="008F79F1">
        <w:rPr>
          <w:rFonts w:ascii="Arial" w:hAnsi="Arial" w:cs="Arial"/>
          <w:sz w:val="24"/>
          <w:szCs w:val="24"/>
          <w:lang w:val="en-GB"/>
        </w:rPr>
        <w:t>. In relation to the use of EU funds, its 2023 Special report</w:t>
      </w:r>
      <w:r w:rsidR="00551E40" w:rsidRPr="008F79F1">
        <w:rPr>
          <w:rStyle w:val="Appelnotedebasdep"/>
          <w:rFonts w:ascii="Arial" w:hAnsi="Arial" w:cs="Arial"/>
          <w:sz w:val="24"/>
          <w:szCs w:val="24"/>
          <w:lang w:val="en-GB"/>
        </w:rPr>
        <w:footnoteReference w:id="12"/>
      </w:r>
      <w:r w:rsidR="00551E40" w:rsidRPr="008F79F1">
        <w:rPr>
          <w:rFonts w:ascii="Arial" w:hAnsi="Arial" w:cs="Arial"/>
          <w:sz w:val="24"/>
          <w:szCs w:val="24"/>
          <w:lang w:val="en-GB"/>
        </w:rPr>
        <w:t xml:space="preserve"> stated: </w:t>
      </w:r>
    </w:p>
    <w:p w14:paraId="28331558" w14:textId="53AA2F0B" w:rsidR="00551E40" w:rsidRPr="008F79F1" w:rsidRDefault="00551E40" w:rsidP="000D7E0C">
      <w:pPr>
        <w:spacing w:line="276" w:lineRule="auto"/>
        <w:ind w:left="708"/>
        <w:jc w:val="both"/>
        <w:rPr>
          <w:rFonts w:ascii="Arial" w:hAnsi="Arial" w:cs="Arial"/>
          <w:sz w:val="24"/>
          <w:szCs w:val="24"/>
          <w:lang w:val="en-GB"/>
        </w:rPr>
      </w:pPr>
      <w:r w:rsidRPr="008F79F1">
        <w:rPr>
          <w:rFonts w:ascii="Arial" w:hAnsi="Arial" w:cs="Arial"/>
          <w:sz w:val="24"/>
          <w:szCs w:val="24"/>
          <w:lang w:val="en-GB"/>
        </w:rPr>
        <w:t xml:space="preserve">“We found that the Commission’s monitoring framework was not designed to provide information on the extent to which EU funding helped improve the situation for persons with disabilities in both the 2014-2020 and 2021-2027 programme periods. The cohesion policy programmes do not include a category of expenditure concerning support for persons with disabilities. The 2021-2027 EU legislation introduced new requirements concerning the horizontal enabling condition on the implementation of the UN Convention and the European </w:t>
      </w:r>
      <w:r w:rsidRPr="008F79F1">
        <w:rPr>
          <w:rFonts w:ascii="Arial" w:hAnsi="Arial" w:cs="Arial"/>
          <w:sz w:val="24"/>
          <w:szCs w:val="24"/>
          <w:lang w:val="en-GB"/>
        </w:rPr>
        <w:lastRenderedPageBreak/>
        <w:t>Semester process. However, these may only have a limited impact on improving the targeting of EU funding to the needs of persons with disabilities.</w:t>
      </w:r>
      <w:r w:rsidR="00541E9E" w:rsidRPr="008F79F1">
        <w:rPr>
          <w:rFonts w:ascii="Arial" w:hAnsi="Arial" w:cs="Arial"/>
          <w:sz w:val="24"/>
          <w:szCs w:val="24"/>
          <w:lang w:val="en-GB"/>
        </w:rPr>
        <w:t>”</w:t>
      </w:r>
    </w:p>
    <w:p w14:paraId="5C3AB711" w14:textId="0ADB0393" w:rsidR="00C7322D" w:rsidRPr="008F79F1" w:rsidRDefault="00541E9E" w:rsidP="00694DFA">
      <w:pPr>
        <w:spacing w:line="276" w:lineRule="auto"/>
        <w:jc w:val="both"/>
        <w:rPr>
          <w:rFonts w:ascii="Arial" w:hAnsi="Arial" w:cs="Arial"/>
          <w:sz w:val="24"/>
          <w:szCs w:val="24"/>
          <w:lang w:val="en-GB"/>
        </w:rPr>
      </w:pPr>
      <w:r w:rsidRPr="008F79F1">
        <w:rPr>
          <w:rFonts w:ascii="Arial" w:hAnsi="Arial" w:cs="Arial"/>
          <w:sz w:val="24"/>
          <w:szCs w:val="24"/>
          <w:lang w:val="en-GB"/>
        </w:rPr>
        <w:t>I</w:t>
      </w:r>
      <w:r w:rsidR="00C7322D" w:rsidRPr="008F79F1">
        <w:rPr>
          <w:rFonts w:ascii="Arial" w:hAnsi="Arial" w:cs="Arial"/>
          <w:sz w:val="24"/>
          <w:szCs w:val="24"/>
          <w:lang w:val="en-GB"/>
        </w:rPr>
        <w:t>n practice</w:t>
      </w:r>
      <w:r w:rsidRPr="008F79F1">
        <w:rPr>
          <w:rFonts w:ascii="Arial" w:hAnsi="Arial" w:cs="Arial"/>
          <w:sz w:val="24"/>
          <w:szCs w:val="24"/>
          <w:lang w:val="en-GB"/>
        </w:rPr>
        <w:t xml:space="preserve">, </w:t>
      </w:r>
      <w:r w:rsidR="00E9205F" w:rsidRPr="008F79F1">
        <w:rPr>
          <w:rFonts w:ascii="Arial" w:hAnsi="Arial" w:cs="Arial"/>
          <w:sz w:val="24"/>
          <w:szCs w:val="24"/>
          <w:lang w:val="en-GB"/>
        </w:rPr>
        <w:t xml:space="preserve">together with </w:t>
      </w:r>
      <w:r w:rsidR="00ED68A0" w:rsidRPr="008F79F1">
        <w:rPr>
          <w:rFonts w:ascii="Arial" w:hAnsi="Arial" w:cs="Arial"/>
          <w:sz w:val="24"/>
          <w:szCs w:val="24"/>
          <w:lang w:val="en-GB"/>
        </w:rPr>
        <w:t xml:space="preserve">other public or private sources of funding, </w:t>
      </w:r>
      <w:r w:rsidRPr="008F79F1">
        <w:rPr>
          <w:rFonts w:ascii="Arial" w:hAnsi="Arial" w:cs="Arial"/>
          <w:sz w:val="24"/>
          <w:szCs w:val="24"/>
          <w:lang w:val="en-GB"/>
        </w:rPr>
        <w:t xml:space="preserve">EU funds have </w:t>
      </w:r>
      <w:r w:rsidR="00ED68A0" w:rsidRPr="008F79F1">
        <w:rPr>
          <w:rFonts w:ascii="Arial" w:hAnsi="Arial" w:cs="Arial"/>
          <w:sz w:val="24"/>
          <w:szCs w:val="24"/>
          <w:lang w:val="en-GB"/>
        </w:rPr>
        <w:t xml:space="preserve">in some Member Stated led to an increasing number of </w:t>
      </w:r>
      <w:r w:rsidR="00D825AB">
        <w:rPr>
          <w:rFonts w:ascii="Arial" w:hAnsi="Arial" w:cs="Arial"/>
          <w:sz w:val="24"/>
          <w:szCs w:val="24"/>
          <w:lang w:val="en-GB"/>
        </w:rPr>
        <w:t>persons with disabilities</w:t>
      </w:r>
      <w:r w:rsidR="00ED68A0" w:rsidRPr="008F79F1">
        <w:rPr>
          <w:rFonts w:ascii="Arial" w:hAnsi="Arial" w:cs="Arial"/>
          <w:sz w:val="24"/>
          <w:szCs w:val="24"/>
          <w:lang w:val="en-GB"/>
        </w:rPr>
        <w:t xml:space="preserve"> being placed in institutional care</w:t>
      </w:r>
      <w:r w:rsidR="00ED68A0" w:rsidRPr="008F79F1">
        <w:rPr>
          <w:rStyle w:val="Appelnotedebasdep"/>
          <w:rFonts w:ascii="Arial" w:hAnsi="Arial" w:cs="Arial"/>
          <w:sz w:val="24"/>
          <w:szCs w:val="24"/>
          <w:lang w:val="en-GB"/>
        </w:rPr>
        <w:footnoteReference w:id="13"/>
      </w:r>
      <w:r w:rsidR="00ED68A0" w:rsidRPr="008F79F1">
        <w:rPr>
          <w:rFonts w:ascii="Arial" w:hAnsi="Arial" w:cs="Arial"/>
          <w:sz w:val="24"/>
          <w:szCs w:val="24"/>
          <w:lang w:val="en-GB"/>
        </w:rPr>
        <w:t xml:space="preserve">. This is </w:t>
      </w:r>
      <w:r w:rsidR="00B43EBF">
        <w:rPr>
          <w:rFonts w:ascii="Arial" w:hAnsi="Arial" w:cs="Arial"/>
          <w:sz w:val="24"/>
          <w:szCs w:val="24"/>
          <w:lang w:val="en-GB"/>
        </w:rPr>
        <w:t xml:space="preserve">also </w:t>
      </w:r>
      <w:r w:rsidR="00ED68A0" w:rsidRPr="008F79F1">
        <w:rPr>
          <w:rFonts w:ascii="Arial" w:hAnsi="Arial" w:cs="Arial"/>
          <w:sz w:val="24"/>
          <w:szCs w:val="24"/>
          <w:lang w:val="en-GB"/>
        </w:rPr>
        <w:t xml:space="preserve">the case for children with disabilities </w:t>
      </w:r>
      <w:r w:rsidR="00B43EBF">
        <w:rPr>
          <w:rFonts w:ascii="Arial" w:hAnsi="Arial" w:cs="Arial"/>
          <w:sz w:val="24"/>
          <w:szCs w:val="24"/>
          <w:lang w:val="en-GB"/>
        </w:rPr>
        <w:t>and for older people in need of support</w:t>
      </w:r>
      <w:r w:rsidR="00ED68A0" w:rsidRPr="008F79F1">
        <w:rPr>
          <w:rStyle w:val="Appelnotedebasdep"/>
          <w:rFonts w:ascii="Arial" w:hAnsi="Arial" w:cs="Arial"/>
          <w:sz w:val="24"/>
          <w:szCs w:val="24"/>
          <w:lang w:val="en-GB"/>
        </w:rPr>
        <w:footnoteReference w:id="14"/>
      </w:r>
      <w:r w:rsidR="00ED68A0" w:rsidRPr="008F79F1">
        <w:rPr>
          <w:rFonts w:ascii="Arial" w:hAnsi="Arial" w:cs="Arial"/>
          <w:sz w:val="24"/>
          <w:szCs w:val="24"/>
          <w:lang w:val="en-GB"/>
        </w:rPr>
        <w:t xml:space="preserve">. </w:t>
      </w:r>
      <w:proofErr w:type="spellStart"/>
      <w:r w:rsidR="00ED68A0" w:rsidRPr="008F79F1">
        <w:rPr>
          <w:rFonts w:ascii="Arial" w:hAnsi="Arial" w:cs="Arial"/>
          <w:sz w:val="24"/>
          <w:szCs w:val="24"/>
          <w:lang w:val="en-GB"/>
        </w:rPr>
        <w:t>Transinstitutionalisation</w:t>
      </w:r>
      <w:proofErr w:type="spellEnd"/>
      <w:r w:rsidR="00C7322D" w:rsidRPr="008F79F1">
        <w:rPr>
          <w:rFonts w:ascii="Arial" w:hAnsi="Arial" w:cs="Arial"/>
          <w:sz w:val="24"/>
          <w:szCs w:val="24"/>
          <w:lang w:val="en-GB"/>
        </w:rPr>
        <w:t>,</w:t>
      </w:r>
      <w:r w:rsidR="00ED68A0" w:rsidRPr="008F79F1">
        <w:rPr>
          <w:rFonts w:ascii="Arial" w:hAnsi="Arial" w:cs="Arial"/>
          <w:sz w:val="24"/>
          <w:szCs w:val="24"/>
          <w:lang w:val="en-GB"/>
        </w:rPr>
        <w:t xml:space="preserve"> </w:t>
      </w:r>
      <w:r w:rsidR="00C7322D" w:rsidRPr="008F79F1">
        <w:rPr>
          <w:rFonts w:ascii="Arial" w:hAnsi="Arial" w:cs="Arial"/>
          <w:sz w:val="24"/>
          <w:szCs w:val="24"/>
          <w:lang w:val="en-GB"/>
        </w:rPr>
        <w:t>or moving people from large to small</w:t>
      </w:r>
      <w:r w:rsidR="00ED68A0" w:rsidRPr="008F79F1">
        <w:rPr>
          <w:rFonts w:ascii="Arial" w:hAnsi="Arial" w:cs="Arial"/>
          <w:sz w:val="24"/>
          <w:szCs w:val="24"/>
          <w:lang w:val="en-GB"/>
        </w:rPr>
        <w:t>er institutions (such as small</w:t>
      </w:r>
      <w:r w:rsidR="00C7322D" w:rsidRPr="008F79F1">
        <w:rPr>
          <w:rFonts w:ascii="Arial" w:hAnsi="Arial" w:cs="Arial"/>
          <w:sz w:val="24"/>
          <w:szCs w:val="24"/>
          <w:lang w:val="en-GB"/>
        </w:rPr>
        <w:t xml:space="preserve"> group homes</w:t>
      </w:r>
      <w:r w:rsidR="00ED68A0" w:rsidRPr="008F79F1">
        <w:rPr>
          <w:rFonts w:ascii="Arial" w:hAnsi="Arial" w:cs="Arial"/>
          <w:sz w:val="24"/>
          <w:szCs w:val="24"/>
          <w:lang w:val="en-GB"/>
        </w:rPr>
        <w:t>)</w:t>
      </w:r>
      <w:r w:rsidR="00C7322D" w:rsidRPr="008F79F1">
        <w:rPr>
          <w:rFonts w:ascii="Arial" w:hAnsi="Arial" w:cs="Arial"/>
          <w:sz w:val="24"/>
          <w:szCs w:val="24"/>
          <w:lang w:val="en-GB"/>
        </w:rPr>
        <w:t xml:space="preserve">, has become </w:t>
      </w:r>
      <w:r w:rsidR="00B43EBF" w:rsidRPr="008F79F1">
        <w:rPr>
          <w:rFonts w:ascii="Arial" w:hAnsi="Arial" w:cs="Arial"/>
          <w:sz w:val="24"/>
          <w:szCs w:val="24"/>
          <w:lang w:val="en-GB"/>
        </w:rPr>
        <w:t xml:space="preserve">particularly </w:t>
      </w:r>
      <w:r w:rsidR="00C7322D" w:rsidRPr="008F79F1">
        <w:rPr>
          <w:rFonts w:ascii="Arial" w:hAnsi="Arial" w:cs="Arial"/>
          <w:sz w:val="24"/>
          <w:szCs w:val="24"/>
          <w:lang w:val="en-GB"/>
        </w:rPr>
        <w:t xml:space="preserve">widespread. In numerous </w:t>
      </w:r>
      <w:r w:rsidR="00ED68A0" w:rsidRPr="008F79F1">
        <w:rPr>
          <w:rFonts w:ascii="Arial" w:hAnsi="Arial" w:cs="Arial"/>
          <w:sz w:val="24"/>
          <w:szCs w:val="24"/>
          <w:lang w:val="en-GB"/>
        </w:rPr>
        <w:t>instances</w:t>
      </w:r>
      <w:r w:rsidR="00C7322D" w:rsidRPr="008F79F1">
        <w:rPr>
          <w:rFonts w:ascii="Arial" w:hAnsi="Arial" w:cs="Arial"/>
          <w:sz w:val="24"/>
          <w:szCs w:val="24"/>
          <w:lang w:val="en-GB"/>
        </w:rPr>
        <w:t xml:space="preserve">, these segregated </w:t>
      </w:r>
      <w:r w:rsidR="00ED68A0" w:rsidRPr="008F79F1">
        <w:rPr>
          <w:rFonts w:ascii="Arial" w:hAnsi="Arial" w:cs="Arial"/>
          <w:sz w:val="24"/>
          <w:szCs w:val="24"/>
          <w:lang w:val="en-GB"/>
        </w:rPr>
        <w:t>settings</w:t>
      </w:r>
      <w:r w:rsidR="00C7322D" w:rsidRPr="008F79F1">
        <w:rPr>
          <w:rFonts w:ascii="Arial" w:hAnsi="Arial" w:cs="Arial"/>
          <w:sz w:val="24"/>
          <w:szCs w:val="24"/>
          <w:lang w:val="en-GB"/>
        </w:rPr>
        <w:t xml:space="preserve"> have received EU funding</w:t>
      </w:r>
      <w:r w:rsidR="00ED68A0" w:rsidRPr="008F79F1">
        <w:rPr>
          <w:rStyle w:val="Appelnotedebasdep"/>
          <w:rFonts w:ascii="Arial" w:hAnsi="Arial" w:cs="Arial"/>
          <w:sz w:val="24"/>
          <w:szCs w:val="24"/>
          <w:lang w:val="en-GB"/>
        </w:rPr>
        <w:footnoteReference w:id="15"/>
      </w:r>
      <w:r w:rsidR="00C7322D" w:rsidRPr="008F79F1">
        <w:rPr>
          <w:rFonts w:ascii="Arial" w:hAnsi="Arial" w:cs="Arial"/>
          <w:sz w:val="24"/>
          <w:szCs w:val="24"/>
          <w:lang w:val="en-GB"/>
        </w:rPr>
        <w:t xml:space="preserve">. </w:t>
      </w:r>
      <w:r w:rsidR="00ED68A0" w:rsidRPr="008F79F1">
        <w:rPr>
          <w:rFonts w:ascii="Arial" w:hAnsi="Arial" w:cs="Arial"/>
          <w:sz w:val="24"/>
          <w:szCs w:val="24"/>
          <w:lang w:val="en-GB"/>
        </w:rPr>
        <w:t>This means that, even where there is a reported decrease in the number of people in institutions, it is likely due to children or adults with disabilities being placed in other forms of residential care.</w:t>
      </w:r>
    </w:p>
    <w:p w14:paraId="05AE6040" w14:textId="05D93B8F" w:rsidR="00C735C8" w:rsidRPr="008F79F1" w:rsidRDefault="00C7322D" w:rsidP="00694DFA">
      <w:pPr>
        <w:spacing w:before="240" w:after="240" w:line="276" w:lineRule="auto"/>
        <w:jc w:val="both"/>
        <w:rPr>
          <w:rFonts w:ascii="Arial" w:hAnsi="Arial" w:cs="Arial"/>
          <w:sz w:val="24"/>
          <w:szCs w:val="24"/>
          <w:lang w:val="en-GB"/>
        </w:rPr>
      </w:pPr>
      <w:r w:rsidRPr="008F79F1">
        <w:rPr>
          <w:rFonts w:ascii="Arial" w:hAnsi="Arial" w:cs="Arial"/>
          <w:sz w:val="24"/>
          <w:szCs w:val="24"/>
          <w:lang w:val="en-GB"/>
        </w:rPr>
        <w:t xml:space="preserve">ENIL has identified five key areas for improvement </w:t>
      </w:r>
      <w:r w:rsidR="00551E40" w:rsidRPr="008F79F1">
        <w:rPr>
          <w:rFonts w:ascii="Arial" w:hAnsi="Arial" w:cs="Arial"/>
          <w:sz w:val="24"/>
          <w:szCs w:val="24"/>
          <w:lang w:val="en-GB"/>
        </w:rPr>
        <w:t xml:space="preserve">for the next MFF, </w:t>
      </w:r>
      <w:r w:rsidRPr="008F79F1">
        <w:rPr>
          <w:rFonts w:ascii="Arial" w:hAnsi="Arial" w:cs="Arial"/>
          <w:sz w:val="24"/>
          <w:szCs w:val="24"/>
          <w:lang w:val="en-GB"/>
        </w:rPr>
        <w:t xml:space="preserve">which are </w:t>
      </w:r>
      <w:r w:rsidR="00ED68A0" w:rsidRPr="008F79F1">
        <w:rPr>
          <w:rFonts w:ascii="Arial" w:hAnsi="Arial" w:cs="Arial"/>
          <w:sz w:val="24"/>
          <w:szCs w:val="24"/>
          <w:lang w:val="en-GB"/>
        </w:rPr>
        <w:t>explained</w:t>
      </w:r>
      <w:r w:rsidRPr="008F79F1">
        <w:rPr>
          <w:rFonts w:ascii="Arial" w:hAnsi="Arial" w:cs="Arial"/>
          <w:sz w:val="24"/>
          <w:szCs w:val="24"/>
          <w:lang w:val="en-GB"/>
        </w:rPr>
        <w:t xml:space="preserve"> in this section.</w:t>
      </w:r>
    </w:p>
    <w:p w14:paraId="0B03317B" w14:textId="0AC7C7E7" w:rsidR="00C727CD" w:rsidRPr="008F79F1" w:rsidRDefault="00420B6B" w:rsidP="00694DFA">
      <w:pPr>
        <w:pStyle w:val="Titre2"/>
        <w:spacing w:line="276" w:lineRule="auto"/>
        <w:jc w:val="both"/>
        <w:rPr>
          <w:lang w:val="en-GB"/>
        </w:rPr>
      </w:pPr>
      <w:bookmarkStart w:id="3" w:name="_Toc196926853"/>
      <w:r w:rsidRPr="008F79F1">
        <w:rPr>
          <w:lang w:val="en-GB"/>
        </w:rPr>
        <w:t xml:space="preserve">Guarantee sufficient support for </w:t>
      </w:r>
      <w:r w:rsidR="006B1D5F" w:rsidRPr="008F79F1">
        <w:rPr>
          <w:lang w:val="en-GB"/>
        </w:rPr>
        <w:t xml:space="preserve">the </w:t>
      </w:r>
      <w:r w:rsidRPr="008F79F1">
        <w:rPr>
          <w:lang w:val="en-GB"/>
        </w:rPr>
        <w:t>development of community-based services for persons with disabilities and deinstitutionalisation, in line with the UNCRPD</w:t>
      </w:r>
      <w:bookmarkEnd w:id="3"/>
    </w:p>
    <w:p w14:paraId="78834563" w14:textId="1A80E447" w:rsidR="006B1D5F" w:rsidRPr="008F79F1" w:rsidRDefault="006B1D5F"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EU funds provide an opportunity to reverse the trend of continued and increased placement of children, adults with disabilities and older people in institutions. </w:t>
      </w:r>
      <w:r w:rsidR="00D046A0" w:rsidRPr="008F79F1">
        <w:rPr>
          <w:rFonts w:ascii="Arial" w:hAnsi="Arial" w:cs="Arial"/>
          <w:sz w:val="24"/>
          <w:szCs w:val="24"/>
          <w:lang w:val="en-GB"/>
        </w:rPr>
        <w:t>For this to happen, new community-based services must be developed, and mainstream services, such as housing, health care, education and employment should become accessible and available to persons with disabilities.</w:t>
      </w:r>
    </w:p>
    <w:p w14:paraId="1BA3D278" w14:textId="6278521B" w:rsidR="000D7E0C" w:rsidRPr="008F79F1" w:rsidRDefault="00D046A0"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Importantly, EU funds must not be used to build new institutions or prolong the life of existing institutions, of any size. </w:t>
      </w:r>
      <w:r w:rsidR="00C727CD" w:rsidRPr="008F79F1">
        <w:rPr>
          <w:rFonts w:ascii="Arial" w:hAnsi="Arial" w:cs="Arial"/>
          <w:sz w:val="24"/>
          <w:szCs w:val="24"/>
          <w:lang w:val="en-GB"/>
        </w:rPr>
        <w:t>ENIL has been consistently reporting</w:t>
      </w:r>
      <w:r w:rsidR="00ED68A0" w:rsidRPr="008F79F1">
        <w:rPr>
          <w:rFonts w:ascii="Arial" w:hAnsi="Arial" w:cs="Arial"/>
          <w:sz w:val="24"/>
          <w:szCs w:val="24"/>
          <w:lang w:val="en-GB"/>
        </w:rPr>
        <w:t xml:space="preserve"> and submitting complaints against</w:t>
      </w:r>
      <w:r w:rsidR="00C727CD" w:rsidRPr="008F79F1">
        <w:rPr>
          <w:rFonts w:ascii="Arial" w:hAnsi="Arial" w:cs="Arial"/>
          <w:sz w:val="24"/>
          <w:szCs w:val="24"/>
          <w:lang w:val="en-GB"/>
        </w:rPr>
        <w:t xml:space="preserve"> investments </w:t>
      </w:r>
      <w:r w:rsidR="00ED68A0" w:rsidRPr="008F79F1">
        <w:rPr>
          <w:rFonts w:ascii="Arial" w:hAnsi="Arial" w:cs="Arial"/>
          <w:sz w:val="24"/>
          <w:szCs w:val="24"/>
          <w:lang w:val="en-GB"/>
        </w:rPr>
        <w:t xml:space="preserve">of EU funds </w:t>
      </w:r>
      <w:r w:rsidR="00C727CD" w:rsidRPr="008F79F1">
        <w:rPr>
          <w:rFonts w:ascii="Arial" w:hAnsi="Arial" w:cs="Arial"/>
          <w:sz w:val="24"/>
          <w:szCs w:val="24"/>
          <w:lang w:val="en-GB"/>
        </w:rPr>
        <w:t xml:space="preserve">into institutions </w:t>
      </w:r>
      <w:r w:rsidR="00ED68A0" w:rsidRPr="008F79F1">
        <w:rPr>
          <w:rFonts w:ascii="Arial" w:hAnsi="Arial" w:cs="Arial"/>
          <w:sz w:val="24"/>
          <w:szCs w:val="24"/>
          <w:lang w:val="en-GB"/>
        </w:rPr>
        <w:t>for</w:t>
      </w:r>
      <w:r w:rsidR="0015578D" w:rsidRPr="008F79F1">
        <w:rPr>
          <w:rFonts w:ascii="Arial" w:hAnsi="Arial" w:cs="Arial"/>
          <w:sz w:val="24"/>
          <w:szCs w:val="24"/>
          <w:lang w:val="en-GB"/>
        </w:rPr>
        <w:t xml:space="preserve"> persons with disabilities </w:t>
      </w:r>
      <w:r w:rsidR="00C727CD" w:rsidRPr="008F79F1">
        <w:rPr>
          <w:rFonts w:ascii="Arial" w:hAnsi="Arial" w:cs="Arial"/>
          <w:sz w:val="24"/>
          <w:szCs w:val="24"/>
          <w:lang w:val="en-GB"/>
        </w:rPr>
        <w:t xml:space="preserve">throughout the </w:t>
      </w:r>
      <w:r w:rsidR="0015578D" w:rsidRPr="008F79F1">
        <w:rPr>
          <w:rFonts w:ascii="Arial" w:hAnsi="Arial" w:cs="Arial"/>
          <w:sz w:val="24"/>
          <w:szCs w:val="24"/>
          <w:lang w:val="en-GB"/>
        </w:rPr>
        <w:t>current and the previous programming periods</w:t>
      </w:r>
      <w:r w:rsidR="0015578D" w:rsidRPr="008F79F1">
        <w:rPr>
          <w:rStyle w:val="Appelnotedebasdep"/>
          <w:rFonts w:ascii="Arial" w:hAnsi="Arial" w:cs="Arial"/>
          <w:sz w:val="24"/>
          <w:szCs w:val="24"/>
          <w:lang w:val="en-GB"/>
        </w:rPr>
        <w:footnoteReference w:id="16"/>
      </w:r>
      <w:r w:rsidR="00C727CD" w:rsidRPr="008F79F1">
        <w:rPr>
          <w:rFonts w:ascii="Arial" w:hAnsi="Arial" w:cs="Arial"/>
          <w:sz w:val="24"/>
          <w:szCs w:val="24"/>
          <w:lang w:val="en-GB"/>
        </w:rPr>
        <w:t xml:space="preserve">. </w:t>
      </w:r>
    </w:p>
    <w:p w14:paraId="148DFCCD" w14:textId="30F3F1AE" w:rsidR="00C727CD" w:rsidRPr="008F79F1" w:rsidRDefault="0015578D" w:rsidP="00694DFA">
      <w:pPr>
        <w:spacing w:line="276" w:lineRule="auto"/>
        <w:jc w:val="both"/>
        <w:rPr>
          <w:rFonts w:ascii="Arial" w:hAnsi="Arial" w:cs="Arial"/>
          <w:sz w:val="24"/>
          <w:szCs w:val="24"/>
          <w:lang w:val="en-GB"/>
        </w:rPr>
      </w:pPr>
      <w:r w:rsidRPr="008F79F1">
        <w:rPr>
          <w:rFonts w:ascii="Arial" w:hAnsi="Arial" w:cs="Arial"/>
          <w:sz w:val="24"/>
          <w:szCs w:val="24"/>
          <w:lang w:val="en-GB"/>
        </w:rPr>
        <w:t>To</w:t>
      </w:r>
      <w:r w:rsidR="00C727CD" w:rsidRPr="008F79F1">
        <w:rPr>
          <w:rFonts w:ascii="Arial" w:hAnsi="Arial" w:cs="Arial"/>
          <w:sz w:val="24"/>
          <w:szCs w:val="24"/>
          <w:lang w:val="en-GB"/>
        </w:rPr>
        <w:t xml:space="preserve"> get a better understanding of the projects funded by the EU with the objective of “deinstitutionalisation”, ENIL carried out an extensive analysis of the Commission’s </w:t>
      </w:r>
      <w:proofErr w:type="spellStart"/>
      <w:r w:rsidR="00C727CD" w:rsidRPr="008F79F1">
        <w:rPr>
          <w:rFonts w:ascii="Arial" w:hAnsi="Arial" w:cs="Arial"/>
          <w:sz w:val="24"/>
          <w:szCs w:val="24"/>
          <w:lang w:val="en-GB"/>
        </w:rPr>
        <w:t>Kohesio</w:t>
      </w:r>
      <w:proofErr w:type="spellEnd"/>
      <w:r w:rsidR="00C727CD" w:rsidRPr="008F79F1">
        <w:rPr>
          <w:rFonts w:ascii="Arial" w:hAnsi="Arial" w:cs="Arial"/>
          <w:sz w:val="24"/>
          <w:szCs w:val="24"/>
          <w:lang w:val="en-GB"/>
        </w:rPr>
        <w:t xml:space="preserve"> platform during 2024. In total, we examined 287 “deinstitutionalisation” projects in 11 countries financed by EU funds as part of the 2014 - 2020 programming period</w:t>
      </w:r>
      <w:r w:rsidR="00DB2ECC">
        <w:rPr>
          <w:rFonts w:ascii="Arial" w:hAnsi="Arial" w:cs="Arial"/>
          <w:sz w:val="24"/>
          <w:szCs w:val="24"/>
          <w:lang w:val="en-GB"/>
        </w:rPr>
        <w:t xml:space="preserve"> (the last period for which data is available)</w:t>
      </w:r>
      <w:r w:rsidR="00C727CD" w:rsidRPr="008F79F1">
        <w:rPr>
          <w:rFonts w:ascii="Arial" w:hAnsi="Arial" w:cs="Arial"/>
          <w:sz w:val="24"/>
          <w:szCs w:val="24"/>
          <w:lang w:val="en-GB"/>
        </w:rPr>
        <w:t xml:space="preserve"> and found numerous examples of investments into segregated settings. There were many projects consisting of the transformation of large institutions into small group homes; for instance, an example was found in Hungary of replacing an institution for 72 persons with psycho-social </w:t>
      </w:r>
      <w:r w:rsidR="00C727CD" w:rsidRPr="008F79F1">
        <w:rPr>
          <w:rFonts w:ascii="Arial" w:hAnsi="Arial" w:cs="Arial"/>
          <w:sz w:val="24"/>
          <w:szCs w:val="24"/>
          <w:lang w:val="en-GB"/>
        </w:rPr>
        <w:lastRenderedPageBreak/>
        <w:t xml:space="preserve">disabilities with a new structure, consisting of 6 apartments with 12 persons each. In addition, we found examples of investments into large institutions, small group homes and segregated day care </w:t>
      </w:r>
      <w:proofErr w:type="spellStart"/>
      <w:r w:rsidR="00C727CD" w:rsidRPr="008F79F1">
        <w:rPr>
          <w:rFonts w:ascii="Arial" w:hAnsi="Arial" w:cs="Arial"/>
          <w:sz w:val="24"/>
          <w:szCs w:val="24"/>
          <w:lang w:val="en-GB"/>
        </w:rPr>
        <w:t>centers</w:t>
      </w:r>
      <w:proofErr w:type="spellEnd"/>
      <w:r w:rsidR="00C727CD" w:rsidRPr="008F79F1">
        <w:rPr>
          <w:rFonts w:ascii="Arial" w:hAnsi="Arial" w:cs="Arial"/>
          <w:sz w:val="24"/>
          <w:szCs w:val="24"/>
          <w:lang w:val="en-GB"/>
        </w:rPr>
        <w:t xml:space="preserve">; several of these were specifically targeted at </w:t>
      </w:r>
      <w:r w:rsidR="00481A13">
        <w:rPr>
          <w:rFonts w:ascii="Arial" w:hAnsi="Arial" w:cs="Arial"/>
          <w:sz w:val="24"/>
          <w:szCs w:val="24"/>
          <w:lang w:val="en-GB"/>
        </w:rPr>
        <w:t xml:space="preserve">children with disabilities </w:t>
      </w:r>
      <w:r w:rsidR="00C727CD" w:rsidRPr="008F79F1">
        <w:rPr>
          <w:rFonts w:ascii="Arial" w:hAnsi="Arial" w:cs="Arial"/>
          <w:sz w:val="24"/>
          <w:szCs w:val="24"/>
          <w:lang w:val="en-GB"/>
        </w:rPr>
        <w:t>or older persons.</w:t>
      </w:r>
    </w:p>
    <w:p w14:paraId="2627F208" w14:textId="3727E427" w:rsidR="00C727CD" w:rsidRDefault="00C727CD"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We have also witnessed Member States including investments into institutions into their plans to spend EU funds. </w:t>
      </w:r>
      <w:r w:rsidR="000D7E0C" w:rsidRPr="008F79F1">
        <w:rPr>
          <w:rFonts w:ascii="Arial" w:hAnsi="Arial" w:cs="Arial"/>
          <w:sz w:val="24"/>
          <w:szCs w:val="24"/>
          <w:lang w:val="en-GB"/>
        </w:rPr>
        <w:t>Several</w:t>
      </w:r>
      <w:r w:rsidRPr="008F79F1">
        <w:rPr>
          <w:rFonts w:ascii="Arial" w:hAnsi="Arial" w:cs="Arial"/>
          <w:sz w:val="24"/>
          <w:szCs w:val="24"/>
          <w:lang w:val="en-GB"/>
        </w:rPr>
        <w:t xml:space="preserve"> Operational Programmes (OPs) for 2021 - 2027, which </w:t>
      </w:r>
      <w:r w:rsidR="000D7E0C" w:rsidRPr="008F79F1">
        <w:rPr>
          <w:rFonts w:ascii="Arial" w:hAnsi="Arial" w:cs="Arial"/>
          <w:sz w:val="24"/>
          <w:szCs w:val="24"/>
          <w:lang w:val="en-GB"/>
        </w:rPr>
        <w:t>have been</w:t>
      </w:r>
      <w:r w:rsidRPr="008F79F1">
        <w:rPr>
          <w:rFonts w:ascii="Arial" w:hAnsi="Arial" w:cs="Arial"/>
          <w:sz w:val="24"/>
          <w:szCs w:val="24"/>
          <w:lang w:val="en-GB"/>
        </w:rPr>
        <w:t xml:space="preserve"> approved by the European Commission, contain plans for investments in institutions (for example, Czech Republic, Slovakia, Poland and Portugal). </w:t>
      </w:r>
    </w:p>
    <w:p w14:paraId="6D44D679" w14:textId="7C6FAFD3" w:rsidR="00C94D25" w:rsidRDefault="00C94D25" w:rsidP="00694DFA">
      <w:pPr>
        <w:spacing w:line="276" w:lineRule="auto"/>
        <w:jc w:val="both"/>
        <w:rPr>
          <w:rFonts w:ascii="Arial" w:hAnsi="Arial" w:cs="Arial"/>
          <w:sz w:val="24"/>
          <w:szCs w:val="24"/>
          <w:lang w:val="en-GB"/>
        </w:rPr>
      </w:pPr>
      <w:r w:rsidRPr="00C94D25">
        <w:rPr>
          <w:rFonts w:ascii="Arial" w:hAnsi="Arial" w:cs="Arial"/>
          <w:sz w:val="24"/>
          <w:szCs w:val="24"/>
          <w:lang w:val="en-GB"/>
        </w:rPr>
        <w:t>The Communication from the Commission on t</w:t>
      </w:r>
      <w:r w:rsidR="00A1465B">
        <w:rPr>
          <w:rFonts w:ascii="Arial" w:hAnsi="Arial" w:cs="Arial"/>
          <w:sz w:val="24"/>
          <w:szCs w:val="24"/>
          <w:lang w:val="en-GB"/>
        </w:rPr>
        <w:t>he mid-term review</w:t>
      </w:r>
      <w:r w:rsidRPr="00C94D25">
        <w:rPr>
          <w:rStyle w:val="Appelnotedebasdep"/>
          <w:rFonts w:ascii="Arial" w:hAnsi="Arial" w:cs="Arial"/>
          <w:sz w:val="24"/>
          <w:szCs w:val="24"/>
          <w:lang w:val="en-GB"/>
        </w:rPr>
        <w:footnoteReference w:id="17"/>
      </w:r>
      <w:r w:rsidRPr="00C94D25">
        <w:rPr>
          <w:rFonts w:ascii="Arial" w:hAnsi="Arial" w:cs="Arial"/>
          <w:sz w:val="24"/>
          <w:szCs w:val="24"/>
          <w:lang w:val="en-GB"/>
        </w:rPr>
        <w:t xml:space="preserve"> includes investments in</w:t>
      </w:r>
      <w:r w:rsidR="00D24490">
        <w:rPr>
          <w:rFonts w:ascii="Arial" w:hAnsi="Arial" w:cs="Arial"/>
          <w:sz w:val="24"/>
          <w:szCs w:val="24"/>
          <w:lang w:val="en-GB"/>
        </w:rPr>
        <w:t xml:space="preserve"> affordable</w:t>
      </w:r>
      <w:r w:rsidRPr="00C94D25">
        <w:rPr>
          <w:rFonts w:ascii="Arial" w:hAnsi="Arial" w:cs="Arial"/>
          <w:sz w:val="24"/>
          <w:szCs w:val="24"/>
          <w:lang w:val="en-GB"/>
        </w:rPr>
        <w:t xml:space="preserve"> housing as a specific objective</w:t>
      </w:r>
      <w:r>
        <w:rPr>
          <w:rFonts w:ascii="Arial" w:hAnsi="Arial" w:cs="Arial"/>
          <w:sz w:val="24"/>
          <w:szCs w:val="24"/>
          <w:lang w:val="en-GB"/>
        </w:rPr>
        <w:t>. This is a welcome development,</w:t>
      </w:r>
      <w:r w:rsidRPr="00C94D25">
        <w:rPr>
          <w:rFonts w:ascii="Arial" w:hAnsi="Arial" w:cs="Arial"/>
          <w:sz w:val="24"/>
          <w:szCs w:val="24"/>
          <w:lang w:val="en-GB"/>
        </w:rPr>
        <w:t xml:space="preserve"> as access to housing is essential for persons with disabilities to live independently. However, without guarantees, these investments can be used towards housing that is inaccessible or segregated from the community.</w:t>
      </w:r>
      <w:r>
        <w:rPr>
          <w:rFonts w:ascii="Arial" w:hAnsi="Arial" w:cs="Arial"/>
          <w:sz w:val="24"/>
          <w:szCs w:val="24"/>
          <w:lang w:val="en-GB"/>
        </w:rPr>
        <w:t xml:space="preserve"> </w:t>
      </w:r>
      <w:r w:rsidRPr="00C94D25">
        <w:rPr>
          <w:rFonts w:ascii="Arial" w:hAnsi="Arial" w:cs="Arial"/>
          <w:sz w:val="24"/>
          <w:szCs w:val="24"/>
          <w:lang w:val="en-GB"/>
        </w:rPr>
        <w:t>The incentives foreseen for the</w:t>
      </w:r>
      <w:r w:rsidR="00200F9F">
        <w:rPr>
          <w:rFonts w:ascii="Arial" w:hAnsi="Arial" w:cs="Arial"/>
          <w:sz w:val="24"/>
          <w:szCs w:val="24"/>
          <w:lang w:val="en-GB"/>
        </w:rPr>
        <w:t xml:space="preserve"> five</w:t>
      </w:r>
      <w:r w:rsidRPr="00C94D25">
        <w:rPr>
          <w:rFonts w:ascii="Arial" w:hAnsi="Arial" w:cs="Arial"/>
          <w:sz w:val="24"/>
          <w:szCs w:val="24"/>
          <w:lang w:val="en-GB"/>
        </w:rPr>
        <w:t xml:space="preserve"> specific objectives</w:t>
      </w:r>
      <w:r w:rsidR="00D24490">
        <w:rPr>
          <w:rFonts w:ascii="Arial" w:hAnsi="Arial" w:cs="Arial"/>
          <w:sz w:val="24"/>
          <w:szCs w:val="24"/>
          <w:lang w:val="en-GB"/>
        </w:rPr>
        <w:t xml:space="preserve"> (</w:t>
      </w:r>
      <w:r w:rsidR="00CC318C">
        <w:rPr>
          <w:rFonts w:ascii="Arial" w:hAnsi="Arial" w:cs="Arial"/>
          <w:sz w:val="24"/>
          <w:szCs w:val="24"/>
          <w:lang w:val="en-GB"/>
        </w:rPr>
        <w:t>i.e. closing the innovation gap</w:t>
      </w:r>
      <w:r w:rsidR="003C6CF0">
        <w:rPr>
          <w:rFonts w:ascii="Arial" w:hAnsi="Arial" w:cs="Arial"/>
          <w:sz w:val="24"/>
          <w:szCs w:val="24"/>
          <w:lang w:val="en-GB"/>
        </w:rPr>
        <w:t xml:space="preserve">, </w:t>
      </w:r>
      <w:r w:rsidR="00D24490">
        <w:rPr>
          <w:rFonts w:ascii="Arial" w:hAnsi="Arial" w:cs="Arial"/>
          <w:sz w:val="24"/>
          <w:szCs w:val="24"/>
          <w:lang w:val="en-GB"/>
        </w:rPr>
        <w:t>defence and security, water resilience, affordable housing</w:t>
      </w:r>
      <w:r w:rsidR="00060F4E">
        <w:rPr>
          <w:rFonts w:ascii="Arial" w:hAnsi="Arial" w:cs="Arial"/>
          <w:sz w:val="24"/>
          <w:szCs w:val="24"/>
          <w:lang w:val="en-GB"/>
        </w:rPr>
        <w:t>,</w:t>
      </w:r>
      <w:r w:rsidR="003C6CF0">
        <w:rPr>
          <w:rFonts w:ascii="Arial" w:hAnsi="Arial" w:cs="Arial"/>
          <w:sz w:val="24"/>
          <w:szCs w:val="24"/>
          <w:lang w:val="en-GB"/>
        </w:rPr>
        <w:t xml:space="preserve"> and energy</w:t>
      </w:r>
      <w:r w:rsidR="00EE0303">
        <w:rPr>
          <w:rFonts w:ascii="Arial" w:hAnsi="Arial" w:cs="Arial"/>
          <w:sz w:val="24"/>
          <w:szCs w:val="24"/>
          <w:lang w:val="en-GB"/>
        </w:rPr>
        <w:t xml:space="preserve"> transition and security</w:t>
      </w:r>
      <w:r w:rsidR="003C6CF0">
        <w:rPr>
          <w:rFonts w:ascii="Arial" w:hAnsi="Arial" w:cs="Arial"/>
          <w:sz w:val="24"/>
          <w:szCs w:val="24"/>
          <w:lang w:val="en-GB"/>
        </w:rPr>
        <w:t>)</w:t>
      </w:r>
      <w:r w:rsidR="00060F4E">
        <w:rPr>
          <w:rFonts w:ascii="Arial" w:hAnsi="Arial" w:cs="Arial"/>
          <w:sz w:val="24"/>
          <w:szCs w:val="24"/>
          <w:lang w:val="en-GB"/>
        </w:rPr>
        <w:t xml:space="preserve"> </w:t>
      </w:r>
      <w:r w:rsidRPr="00C94D25">
        <w:rPr>
          <w:rFonts w:ascii="Arial" w:hAnsi="Arial" w:cs="Arial"/>
          <w:sz w:val="24"/>
          <w:szCs w:val="24"/>
          <w:lang w:val="en-GB"/>
        </w:rPr>
        <w:t>also risk that other investments, albeit essential to advance social cohesion, will be reduced.</w:t>
      </w:r>
      <w:r>
        <w:rPr>
          <w:rFonts w:ascii="Arial" w:hAnsi="Arial" w:cs="Arial"/>
          <w:sz w:val="24"/>
          <w:szCs w:val="24"/>
          <w:lang w:val="en-GB"/>
        </w:rPr>
        <w:t xml:space="preserve"> </w:t>
      </w:r>
    </w:p>
    <w:p w14:paraId="32A900DE" w14:textId="77777777" w:rsidR="00ED68A0" w:rsidRPr="008F79F1" w:rsidRDefault="00C727CD" w:rsidP="00694DFA">
      <w:pPr>
        <w:spacing w:line="276" w:lineRule="auto"/>
        <w:jc w:val="both"/>
        <w:rPr>
          <w:rFonts w:ascii="Arial" w:hAnsi="Arial" w:cs="Arial"/>
          <w:sz w:val="24"/>
          <w:szCs w:val="24"/>
          <w:lang w:val="en-GB"/>
        </w:rPr>
      </w:pPr>
      <w:r w:rsidRPr="008F79F1">
        <w:rPr>
          <w:rFonts w:ascii="Arial" w:hAnsi="Arial" w:cs="Arial"/>
          <w:b/>
          <w:bCs/>
          <w:sz w:val="24"/>
          <w:szCs w:val="24"/>
          <w:lang w:val="en-GB"/>
        </w:rPr>
        <w:t>Recommendations</w:t>
      </w:r>
      <w:r w:rsidR="00ED68A0" w:rsidRPr="008F79F1">
        <w:rPr>
          <w:rFonts w:ascii="Arial" w:hAnsi="Arial" w:cs="Arial"/>
          <w:b/>
          <w:bCs/>
          <w:sz w:val="24"/>
          <w:szCs w:val="24"/>
          <w:lang w:val="en-GB"/>
        </w:rPr>
        <w:t xml:space="preserve"> for the next MFF</w:t>
      </w:r>
      <w:r w:rsidRPr="008F79F1">
        <w:rPr>
          <w:rFonts w:ascii="Arial" w:hAnsi="Arial" w:cs="Arial"/>
          <w:b/>
          <w:bCs/>
          <w:sz w:val="24"/>
          <w:szCs w:val="24"/>
          <w:lang w:val="en-GB"/>
        </w:rPr>
        <w:t>:</w:t>
      </w:r>
      <w:r w:rsidRPr="008F79F1">
        <w:rPr>
          <w:rFonts w:ascii="Arial" w:hAnsi="Arial" w:cs="Arial"/>
          <w:sz w:val="24"/>
          <w:szCs w:val="24"/>
          <w:lang w:val="en-GB"/>
        </w:rPr>
        <w:t xml:space="preserve"> </w:t>
      </w:r>
    </w:p>
    <w:p w14:paraId="19143609" w14:textId="7A129F5B" w:rsidR="00420B6B" w:rsidRPr="008F79F1" w:rsidRDefault="006B1D5F" w:rsidP="00ED68A0">
      <w:pPr>
        <w:pStyle w:val="Paragraphedeliste"/>
        <w:numPr>
          <w:ilvl w:val="0"/>
          <w:numId w:val="24"/>
        </w:numPr>
        <w:spacing w:line="276" w:lineRule="auto"/>
        <w:jc w:val="both"/>
        <w:rPr>
          <w:rFonts w:ascii="Arial" w:hAnsi="Arial" w:cs="Arial"/>
          <w:sz w:val="24"/>
          <w:szCs w:val="24"/>
          <w:lang w:val="en-GB"/>
        </w:rPr>
      </w:pPr>
      <w:r w:rsidRPr="008F79F1">
        <w:rPr>
          <w:rFonts w:ascii="Arial" w:hAnsi="Arial" w:cs="Arial"/>
          <w:b/>
          <w:bCs/>
          <w:sz w:val="24"/>
          <w:szCs w:val="24"/>
          <w:lang w:val="en-GB"/>
        </w:rPr>
        <w:t xml:space="preserve">Include </w:t>
      </w:r>
      <w:r w:rsidR="00D046A0" w:rsidRPr="008F79F1">
        <w:rPr>
          <w:rFonts w:ascii="Arial" w:hAnsi="Arial" w:cs="Arial"/>
          <w:b/>
          <w:bCs/>
          <w:sz w:val="24"/>
          <w:szCs w:val="24"/>
          <w:lang w:val="en-GB"/>
        </w:rPr>
        <w:t xml:space="preserve">social inclusion of persons with disabilities and </w:t>
      </w:r>
      <w:r w:rsidRPr="008F79F1">
        <w:rPr>
          <w:rFonts w:ascii="Arial" w:hAnsi="Arial" w:cs="Arial"/>
          <w:b/>
          <w:bCs/>
          <w:sz w:val="24"/>
          <w:szCs w:val="24"/>
          <w:lang w:val="en-GB"/>
        </w:rPr>
        <w:t xml:space="preserve">deinstitutionalisation as </w:t>
      </w:r>
      <w:r w:rsidR="00D046A0" w:rsidRPr="008F79F1">
        <w:rPr>
          <w:rFonts w:ascii="Arial" w:hAnsi="Arial" w:cs="Arial"/>
          <w:b/>
          <w:bCs/>
          <w:sz w:val="24"/>
          <w:szCs w:val="24"/>
          <w:lang w:val="en-GB"/>
        </w:rPr>
        <w:t>priorities</w:t>
      </w:r>
      <w:r w:rsidRPr="008F79F1">
        <w:rPr>
          <w:rFonts w:ascii="Arial" w:hAnsi="Arial" w:cs="Arial"/>
          <w:b/>
          <w:bCs/>
          <w:sz w:val="24"/>
          <w:szCs w:val="24"/>
          <w:lang w:val="en-GB"/>
        </w:rPr>
        <w:t xml:space="preserve"> for</w:t>
      </w:r>
      <w:r w:rsidR="00C94D25">
        <w:rPr>
          <w:rFonts w:ascii="Arial" w:hAnsi="Arial" w:cs="Arial"/>
          <w:b/>
          <w:bCs/>
          <w:sz w:val="24"/>
          <w:szCs w:val="24"/>
          <w:lang w:val="en-GB"/>
        </w:rPr>
        <w:t xml:space="preserve"> the funding instruments that will be part of the next MFF, mainstreamed across all relevant policy areas. </w:t>
      </w:r>
      <w:r w:rsidR="00D046A0" w:rsidRPr="008F79F1">
        <w:rPr>
          <w:rFonts w:ascii="Arial" w:hAnsi="Arial" w:cs="Arial"/>
          <w:sz w:val="24"/>
          <w:szCs w:val="24"/>
          <w:lang w:val="en-GB"/>
        </w:rPr>
        <w:t>Ensure that deinstitutionalisation process result in opportunities for enjoyment of the right to independent living, in line with UNCRPD.</w:t>
      </w:r>
    </w:p>
    <w:p w14:paraId="042ED933" w14:textId="49DE1379" w:rsidR="00ED2843" w:rsidRPr="00CC318C" w:rsidRDefault="00ED2843" w:rsidP="00ED68A0">
      <w:pPr>
        <w:pStyle w:val="Paragraphedeliste"/>
        <w:numPr>
          <w:ilvl w:val="0"/>
          <w:numId w:val="24"/>
        </w:numPr>
        <w:spacing w:line="276" w:lineRule="auto"/>
        <w:jc w:val="both"/>
        <w:rPr>
          <w:rFonts w:ascii="Arial" w:hAnsi="Arial" w:cs="Arial"/>
          <w:sz w:val="24"/>
          <w:szCs w:val="24"/>
          <w:lang w:val="en-GB"/>
        </w:rPr>
      </w:pPr>
      <w:r w:rsidRPr="008F79F1">
        <w:rPr>
          <w:rFonts w:ascii="Arial" w:hAnsi="Arial" w:cs="Arial"/>
          <w:b/>
          <w:bCs/>
          <w:sz w:val="24"/>
          <w:szCs w:val="24"/>
          <w:lang w:val="en-GB"/>
        </w:rPr>
        <w:t xml:space="preserve">Increase funding for personal assistance schemes, for all those in need of </w:t>
      </w:r>
      <w:r w:rsidRPr="00CC318C">
        <w:rPr>
          <w:rFonts w:ascii="Arial" w:hAnsi="Arial" w:cs="Arial"/>
          <w:b/>
          <w:bCs/>
          <w:sz w:val="24"/>
          <w:szCs w:val="24"/>
          <w:lang w:val="en-GB"/>
        </w:rPr>
        <w:t xml:space="preserve">such support (including children) and </w:t>
      </w:r>
      <w:proofErr w:type="spellStart"/>
      <w:r w:rsidRPr="00CC318C">
        <w:rPr>
          <w:rFonts w:ascii="Arial" w:hAnsi="Arial" w:cs="Arial"/>
          <w:b/>
          <w:bCs/>
          <w:sz w:val="24"/>
          <w:szCs w:val="24"/>
          <w:lang w:val="en-GB"/>
        </w:rPr>
        <w:t>Centers</w:t>
      </w:r>
      <w:proofErr w:type="spellEnd"/>
      <w:r w:rsidRPr="00CC318C">
        <w:rPr>
          <w:rFonts w:ascii="Arial" w:hAnsi="Arial" w:cs="Arial"/>
          <w:b/>
          <w:bCs/>
          <w:sz w:val="24"/>
          <w:szCs w:val="24"/>
          <w:lang w:val="en-GB"/>
        </w:rPr>
        <w:t xml:space="preserve"> for Independent Living, </w:t>
      </w:r>
      <w:r w:rsidRPr="00CC318C">
        <w:rPr>
          <w:rFonts w:ascii="Arial" w:hAnsi="Arial" w:cs="Arial"/>
          <w:sz w:val="24"/>
          <w:szCs w:val="24"/>
          <w:lang w:val="en-GB"/>
        </w:rPr>
        <w:t xml:space="preserve">as </w:t>
      </w:r>
      <w:r w:rsidR="00BD612C" w:rsidRPr="00CC318C">
        <w:rPr>
          <w:rFonts w:ascii="Arial" w:hAnsi="Arial" w:cs="Arial"/>
          <w:sz w:val="24"/>
          <w:szCs w:val="24"/>
          <w:lang w:val="en-GB"/>
        </w:rPr>
        <w:t>these are key to implementation of the right to independent living in the EU and are an alternative to institutionalisation.</w:t>
      </w:r>
      <w:r w:rsidR="00065EB3" w:rsidRPr="00CC318C">
        <w:rPr>
          <w:rFonts w:ascii="Arial" w:hAnsi="Arial" w:cs="Arial"/>
          <w:sz w:val="24"/>
          <w:szCs w:val="24"/>
          <w:lang w:val="en-GB"/>
        </w:rPr>
        <w:t xml:space="preserve"> </w:t>
      </w:r>
      <w:r w:rsidR="00C94D25" w:rsidRPr="00CC318C">
        <w:rPr>
          <w:rFonts w:ascii="Arial" w:hAnsi="Arial" w:cs="Arial"/>
          <w:sz w:val="24"/>
          <w:szCs w:val="24"/>
          <w:lang w:val="en-GB"/>
        </w:rPr>
        <w:t>Importantly,</w:t>
      </w:r>
      <w:r w:rsidR="00065EB3" w:rsidRPr="00CC318C">
        <w:rPr>
          <w:rFonts w:ascii="Arial" w:hAnsi="Arial" w:cs="Arial"/>
          <w:sz w:val="24"/>
          <w:szCs w:val="24"/>
          <w:lang w:val="en-GB"/>
        </w:rPr>
        <w:t xml:space="preserve"> incentives towards investments in the specific objectives </w:t>
      </w:r>
      <w:r w:rsidR="00C94D25" w:rsidRPr="00CC318C">
        <w:rPr>
          <w:rFonts w:ascii="Arial" w:hAnsi="Arial" w:cs="Arial"/>
          <w:sz w:val="24"/>
          <w:szCs w:val="24"/>
          <w:lang w:val="en-GB"/>
        </w:rPr>
        <w:t>should not</w:t>
      </w:r>
      <w:r w:rsidR="00065EB3" w:rsidRPr="00CC318C">
        <w:rPr>
          <w:rFonts w:ascii="Arial" w:hAnsi="Arial" w:cs="Arial"/>
          <w:sz w:val="24"/>
          <w:szCs w:val="24"/>
          <w:lang w:val="en-GB"/>
        </w:rPr>
        <w:t xml:space="preserve"> lead to reductions in </w:t>
      </w:r>
      <w:r w:rsidR="00220DB9" w:rsidRPr="00CC318C">
        <w:rPr>
          <w:rFonts w:ascii="Arial" w:hAnsi="Arial" w:cs="Arial"/>
          <w:sz w:val="24"/>
          <w:szCs w:val="24"/>
          <w:lang w:val="en-GB"/>
        </w:rPr>
        <w:t>other essential sectors.</w:t>
      </w:r>
    </w:p>
    <w:p w14:paraId="3CA41CDB" w14:textId="28F5669F" w:rsidR="00420C4C" w:rsidRPr="00CC318C" w:rsidRDefault="00420C4C" w:rsidP="00ED68A0">
      <w:pPr>
        <w:pStyle w:val="Paragraphedeliste"/>
        <w:numPr>
          <w:ilvl w:val="0"/>
          <w:numId w:val="24"/>
        </w:numPr>
        <w:spacing w:line="276" w:lineRule="auto"/>
        <w:jc w:val="both"/>
        <w:rPr>
          <w:rFonts w:ascii="Arial" w:hAnsi="Arial" w:cs="Arial"/>
          <w:sz w:val="24"/>
          <w:szCs w:val="24"/>
          <w:lang w:val="en-GB"/>
        </w:rPr>
      </w:pPr>
      <w:r w:rsidRPr="00CC318C">
        <w:rPr>
          <w:rFonts w:ascii="Arial" w:hAnsi="Arial" w:cs="Arial"/>
          <w:b/>
          <w:bCs/>
          <w:sz w:val="24"/>
          <w:szCs w:val="24"/>
          <w:lang w:val="en-GB"/>
        </w:rPr>
        <w:t xml:space="preserve">Ensure that </w:t>
      </w:r>
      <w:r w:rsidR="00FC780C" w:rsidRPr="00CC318C">
        <w:rPr>
          <w:rFonts w:ascii="Arial" w:hAnsi="Arial" w:cs="Arial"/>
          <w:b/>
          <w:bCs/>
          <w:sz w:val="24"/>
          <w:szCs w:val="24"/>
          <w:lang w:val="en-GB"/>
        </w:rPr>
        <w:t xml:space="preserve">housing built </w:t>
      </w:r>
      <w:r w:rsidR="00C94D25" w:rsidRPr="00CC318C">
        <w:rPr>
          <w:rFonts w:ascii="Arial" w:hAnsi="Arial" w:cs="Arial"/>
          <w:b/>
          <w:bCs/>
          <w:sz w:val="24"/>
          <w:szCs w:val="24"/>
          <w:lang w:val="en-GB"/>
        </w:rPr>
        <w:t>with the support of</w:t>
      </w:r>
      <w:r w:rsidR="00FC780C" w:rsidRPr="00CC318C">
        <w:rPr>
          <w:rFonts w:ascii="Arial" w:hAnsi="Arial" w:cs="Arial"/>
          <w:b/>
          <w:bCs/>
          <w:sz w:val="24"/>
          <w:szCs w:val="24"/>
          <w:lang w:val="en-GB"/>
        </w:rPr>
        <w:t xml:space="preserve"> EU funds is accessible, affordable</w:t>
      </w:r>
      <w:r w:rsidR="00C94D25" w:rsidRPr="00CC318C">
        <w:rPr>
          <w:rFonts w:ascii="Arial" w:hAnsi="Arial" w:cs="Arial"/>
          <w:b/>
          <w:bCs/>
          <w:sz w:val="24"/>
          <w:szCs w:val="24"/>
          <w:lang w:val="en-GB"/>
        </w:rPr>
        <w:t>, non-segregated</w:t>
      </w:r>
      <w:r w:rsidR="00FC780C" w:rsidRPr="00CC318C">
        <w:rPr>
          <w:rFonts w:ascii="Arial" w:hAnsi="Arial" w:cs="Arial"/>
          <w:b/>
          <w:bCs/>
          <w:sz w:val="24"/>
          <w:szCs w:val="24"/>
          <w:lang w:val="en-GB"/>
        </w:rPr>
        <w:t xml:space="preserve"> and in the community, </w:t>
      </w:r>
      <w:r w:rsidR="00FC780C" w:rsidRPr="00CC318C">
        <w:rPr>
          <w:rFonts w:ascii="Arial" w:hAnsi="Arial" w:cs="Arial"/>
          <w:sz w:val="24"/>
          <w:szCs w:val="24"/>
          <w:lang w:val="en-GB"/>
        </w:rPr>
        <w:t xml:space="preserve">to comply with obligations under the UN CRPD and to avoid further excluding persons with disabilities </w:t>
      </w:r>
      <w:r w:rsidR="00C94D25" w:rsidRPr="00CC318C">
        <w:rPr>
          <w:rFonts w:ascii="Arial" w:hAnsi="Arial" w:cs="Arial"/>
          <w:sz w:val="24"/>
          <w:szCs w:val="24"/>
          <w:lang w:val="en-GB"/>
        </w:rPr>
        <w:t xml:space="preserve">and other marginalised groups </w:t>
      </w:r>
      <w:r w:rsidR="00FC780C" w:rsidRPr="00CC318C">
        <w:rPr>
          <w:rFonts w:ascii="Arial" w:hAnsi="Arial" w:cs="Arial"/>
          <w:sz w:val="24"/>
          <w:szCs w:val="24"/>
          <w:lang w:val="en-GB"/>
        </w:rPr>
        <w:t>from access to housing.</w:t>
      </w:r>
    </w:p>
    <w:p w14:paraId="461624FF" w14:textId="10C811F0" w:rsidR="000D7E0C" w:rsidRPr="008F79F1" w:rsidRDefault="00C727CD" w:rsidP="00ED68A0">
      <w:pPr>
        <w:pStyle w:val="Paragraphedeliste"/>
        <w:numPr>
          <w:ilvl w:val="0"/>
          <w:numId w:val="24"/>
        </w:numPr>
        <w:spacing w:line="276" w:lineRule="auto"/>
        <w:jc w:val="both"/>
        <w:rPr>
          <w:rFonts w:ascii="Arial" w:hAnsi="Arial" w:cs="Arial"/>
          <w:sz w:val="24"/>
          <w:szCs w:val="24"/>
          <w:lang w:val="en-GB"/>
        </w:rPr>
      </w:pPr>
      <w:r w:rsidRPr="008F79F1">
        <w:rPr>
          <w:rFonts w:ascii="Arial" w:hAnsi="Arial" w:cs="Arial"/>
          <w:b/>
          <w:bCs/>
          <w:sz w:val="24"/>
          <w:szCs w:val="24"/>
          <w:lang w:val="en-GB"/>
        </w:rPr>
        <w:t>Introduce a</w:t>
      </w:r>
      <w:r w:rsidR="000D7E0C" w:rsidRPr="008F79F1">
        <w:rPr>
          <w:rFonts w:ascii="Arial" w:hAnsi="Arial" w:cs="Arial"/>
          <w:b/>
          <w:bCs/>
          <w:sz w:val="24"/>
          <w:szCs w:val="24"/>
          <w:lang w:val="en-GB"/>
        </w:rPr>
        <w:t xml:space="preserve"> clear</w:t>
      </w:r>
      <w:r w:rsidRPr="008F79F1">
        <w:rPr>
          <w:rFonts w:ascii="Arial" w:hAnsi="Arial" w:cs="Arial"/>
          <w:b/>
          <w:bCs/>
          <w:sz w:val="24"/>
          <w:szCs w:val="24"/>
          <w:lang w:val="en-GB"/>
        </w:rPr>
        <w:t xml:space="preserve"> prohibition</w:t>
      </w:r>
      <w:r w:rsidR="000D7E0C" w:rsidRPr="008F79F1">
        <w:rPr>
          <w:rFonts w:ascii="Arial" w:hAnsi="Arial" w:cs="Arial"/>
          <w:b/>
          <w:bCs/>
          <w:sz w:val="24"/>
          <w:szCs w:val="24"/>
          <w:lang w:val="en-GB"/>
        </w:rPr>
        <w:t xml:space="preserve"> in the Common Provisions Regulation and the rules governing the use of individual funding instruments</w:t>
      </w:r>
      <w:r w:rsidRPr="008F79F1">
        <w:rPr>
          <w:rFonts w:ascii="Arial" w:hAnsi="Arial" w:cs="Arial"/>
          <w:b/>
          <w:bCs/>
          <w:sz w:val="24"/>
          <w:szCs w:val="24"/>
          <w:lang w:val="en-GB"/>
        </w:rPr>
        <w:t xml:space="preserve"> </w:t>
      </w:r>
      <w:r w:rsidR="000D7E0C" w:rsidRPr="008F79F1">
        <w:rPr>
          <w:rFonts w:ascii="Arial" w:hAnsi="Arial" w:cs="Arial"/>
          <w:b/>
          <w:bCs/>
          <w:sz w:val="24"/>
          <w:szCs w:val="24"/>
          <w:lang w:val="en-GB"/>
        </w:rPr>
        <w:t>of investing into</w:t>
      </w:r>
      <w:r w:rsidRPr="008F79F1">
        <w:rPr>
          <w:rFonts w:ascii="Arial" w:hAnsi="Arial" w:cs="Arial"/>
          <w:b/>
          <w:bCs/>
          <w:sz w:val="24"/>
          <w:szCs w:val="24"/>
          <w:lang w:val="en-GB"/>
        </w:rPr>
        <w:t xml:space="preserve"> any form of segregation</w:t>
      </w:r>
      <w:r w:rsidRPr="008F79F1">
        <w:rPr>
          <w:rFonts w:ascii="Arial" w:hAnsi="Arial" w:cs="Arial"/>
          <w:sz w:val="24"/>
          <w:szCs w:val="24"/>
          <w:lang w:val="en-GB"/>
        </w:rPr>
        <w:t xml:space="preserve">, including but not limited to, large and small institutions (such as small group homes), sheltered workshops, or special </w:t>
      </w:r>
      <w:r w:rsidRPr="008F79F1">
        <w:rPr>
          <w:rFonts w:ascii="Arial" w:hAnsi="Arial" w:cs="Arial"/>
          <w:sz w:val="24"/>
          <w:szCs w:val="24"/>
          <w:lang w:val="en-GB"/>
        </w:rPr>
        <w:lastRenderedPageBreak/>
        <w:t>education</w:t>
      </w:r>
      <w:r w:rsidR="000D7E0C" w:rsidRPr="008F79F1">
        <w:rPr>
          <w:rFonts w:ascii="Arial" w:hAnsi="Arial" w:cs="Arial"/>
          <w:sz w:val="24"/>
          <w:szCs w:val="24"/>
          <w:lang w:val="en-GB"/>
        </w:rPr>
        <w:t xml:space="preserve"> settings</w:t>
      </w:r>
      <w:r w:rsidRPr="008F79F1">
        <w:rPr>
          <w:rFonts w:ascii="Arial" w:hAnsi="Arial" w:cs="Arial"/>
          <w:sz w:val="24"/>
          <w:szCs w:val="24"/>
          <w:lang w:val="en-GB"/>
        </w:rPr>
        <w:t>.</w:t>
      </w:r>
      <w:r w:rsidR="000D7E0C" w:rsidRPr="008F79F1">
        <w:rPr>
          <w:rFonts w:ascii="Arial" w:hAnsi="Arial" w:cs="Arial"/>
          <w:sz w:val="24"/>
          <w:szCs w:val="24"/>
          <w:lang w:val="en-GB"/>
        </w:rPr>
        <w:t xml:space="preserve"> Such prohibition </w:t>
      </w:r>
      <w:r w:rsidR="00DB2ECC">
        <w:rPr>
          <w:rFonts w:ascii="Arial" w:hAnsi="Arial" w:cs="Arial"/>
          <w:sz w:val="24"/>
          <w:szCs w:val="24"/>
          <w:lang w:val="en-GB"/>
        </w:rPr>
        <w:t>should</w:t>
      </w:r>
      <w:r w:rsidR="000D7E0C" w:rsidRPr="008F79F1">
        <w:rPr>
          <w:rFonts w:ascii="Arial" w:hAnsi="Arial" w:cs="Arial"/>
          <w:sz w:val="24"/>
          <w:szCs w:val="24"/>
          <w:lang w:val="en-GB"/>
        </w:rPr>
        <w:t xml:space="preserve"> recall Member States’ and the EU’s obligations under the UN CRPD and the EU Fundamental Rights Charter</w:t>
      </w:r>
      <w:r w:rsidR="00DB2ECC">
        <w:rPr>
          <w:rFonts w:ascii="Arial" w:hAnsi="Arial" w:cs="Arial"/>
          <w:sz w:val="24"/>
          <w:szCs w:val="24"/>
          <w:lang w:val="en-GB"/>
        </w:rPr>
        <w:t>, and should be based on institutionalisation constituting discrimination against persons with disabilities</w:t>
      </w:r>
      <w:r w:rsidR="000D7E0C" w:rsidRPr="008F79F1">
        <w:rPr>
          <w:rFonts w:ascii="Arial" w:hAnsi="Arial" w:cs="Arial"/>
          <w:sz w:val="24"/>
          <w:szCs w:val="24"/>
          <w:lang w:val="en-GB"/>
        </w:rPr>
        <w:t>.</w:t>
      </w:r>
    </w:p>
    <w:p w14:paraId="33B8D22A" w14:textId="7DAE17D9" w:rsidR="000D7E0C" w:rsidRPr="008F79F1" w:rsidRDefault="00C727CD" w:rsidP="00ED68A0">
      <w:pPr>
        <w:pStyle w:val="Paragraphedeliste"/>
        <w:numPr>
          <w:ilvl w:val="0"/>
          <w:numId w:val="24"/>
        </w:numPr>
        <w:spacing w:line="276" w:lineRule="auto"/>
        <w:jc w:val="both"/>
        <w:rPr>
          <w:rFonts w:ascii="Arial" w:hAnsi="Arial" w:cs="Arial"/>
          <w:sz w:val="24"/>
          <w:szCs w:val="24"/>
          <w:lang w:val="en-GB"/>
        </w:rPr>
      </w:pPr>
      <w:r w:rsidRPr="008F79F1">
        <w:rPr>
          <w:rFonts w:ascii="Arial" w:hAnsi="Arial" w:cs="Arial"/>
          <w:b/>
          <w:bCs/>
          <w:sz w:val="24"/>
          <w:szCs w:val="24"/>
          <w:lang w:val="en-GB"/>
        </w:rPr>
        <w:t xml:space="preserve">Include </w:t>
      </w:r>
      <w:r w:rsidR="000D7E0C" w:rsidRPr="008F79F1">
        <w:rPr>
          <w:rFonts w:ascii="Arial" w:hAnsi="Arial" w:cs="Arial"/>
          <w:b/>
          <w:bCs/>
          <w:sz w:val="24"/>
          <w:szCs w:val="24"/>
          <w:lang w:val="en-GB"/>
        </w:rPr>
        <w:t>a definition of an institution, community-based support and deinstitutionalisation</w:t>
      </w:r>
      <w:r w:rsidR="000D7E0C" w:rsidRPr="008F79F1">
        <w:rPr>
          <w:rFonts w:ascii="Arial" w:hAnsi="Arial" w:cs="Arial"/>
          <w:sz w:val="24"/>
          <w:szCs w:val="24"/>
          <w:lang w:val="en-GB"/>
        </w:rPr>
        <w:t xml:space="preserve">, based on the UNCRPD, its General Comments and the CRPD Committee’s Guidelines on deinstitutionalisation, including in emergencies, in the Common Provisions Regulation and the rules governing the use of individual funding instruments. </w:t>
      </w:r>
    </w:p>
    <w:p w14:paraId="657CE12A" w14:textId="19219701" w:rsidR="00C727CD" w:rsidRPr="008F79F1" w:rsidRDefault="00C727CD" w:rsidP="00ED68A0">
      <w:pPr>
        <w:pStyle w:val="Paragraphedeliste"/>
        <w:numPr>
          <w:ilvl w:val="0"/>
          <w:numId w:val="24"/>
        </w:numPr>
        <w:spacing w:line="276" w:lineRule="auto"/>
        <w:jc w:val="both"/>
        <w:rPr>
          <w:rFonts w:ascii="Arial" w:hAnsi="Arial" w:cs="Arial"/>
          <w:sz w:val="24"/>
          <w:szCs w:val="24"/>
          <w:lang w:val="en-GB"/>
        </w:rPr>
      </w:pPr>
      <w:r w:rsidRPr="008F79F1">
        <w:rPr>
          <w:rFonts w:ascii="Arial" w:hAnsi="Arial" w:cs="Arial"/>
          <w:b/>
          <w:bCs/>
          <w:sz w:val="24"/>
          <w:szCs w:val="24"/>
          <w:lang w:val="en-GB"/>
        </w:rPr>
        <w:t>Ensure that there are no exceptions</w:t>
      </w:r>
      <w:r w:rsidR="000D7E0C" w:rsidRPr="008F79F1">
        <w:rPr>
          <w:rFonts w:ascii="Arial" w:hAnsi="Arial" w:cs="Arial"/>
          <w:b/>
          <w:bCs/>
          <w:sz w:val="24"/>
          <w:szCs w:val="24"/>
          <w:lang w:val="en-GB"/>
        </w:rPr>
        <w:t xml:space="preserve"> that would allow investments in institutions</w:t>
      </w:r>
      <w:r w:rsidRPr="008F79F1">
        <w:rPr>
          <w:rFonts w:ascii="Arial" w:hAnsi="Arial" w:cs="Arial"/>
          <w:b/>
          <w:bCs/>
          <w:sz w:val="24"/>
          <w:szCs w:val="24"/>
          <w:lang w:val="en-GB"/>
        </w:rPr>
        <w:t xml:space="preserve"> in the planning and implementation of EU funds.</w:t>
      </w:r>
      <w:r w:rsidR="0085372E" w:rsidRPr="008F79F1">
        <w:rPr>
          <w:rFonts w:ascii="Arial" w:hAnsi="Arial" w:cs="Arial"/>
          <w:sz w:val="24"/>
          <w:szCs w:val="24"/>
          <w:lang w:val="en-GB"/>
        </w:rPr>
        <w:t xml:space="preserve"> Revoke any internal legal opinions that permit such investments.</w:t>
      </w:r>
    </w:p>
    <w:p w14:paraId="0741B548" w14:textId="060E08B0" w:rsidR="0085372E" w:rsidRDefault="0085372E" w:rsidP="00ED68A0">
      <w:pPr>
        <w:pStyle w:val="Paragraphedeliste"/>
        <w:numPr>
          <w:ilvl w:val="0"/>
          <w:numId w:val="24"/>
        </w:numPr>
        <w:spacing w:line="276" w:lineRule="auto"/>
        <w:jc w:val="both"/>
        <w:rPr>
          <w:rFonts w:ascii="Arial" w:hAnsi="Arial" w:cs="Arial"/>
          <w:sz w:val="24"/>
          <w:szCs w:val="24"/>
          <w:lang w:val="en-GB"/>
        </w:rPr>
      </w:pPr>
      <w:r w:rsidRPr="008F79F1">
        <w:rPr>
          <w:rFonts w:ascii="Arial" w:hAnsi="Arial" w:cs="Arial"/>
          <w:b/>
          <w:bCs/>
          <w:sz w:val="24"/>
          <w:szCs w:val="24"/>
          <w:lang w:val="en-GB"/>
        </w:rPr>
        <w:t xml:space="preserve">Refer to the Commission’s Guidance on Independent Living </w:t>
      </w:r>
      <w:r w:rsidRPr="008F79F1">
        <w:rPr>
          <w:rFonts w:ascii="Arial" w:hAnsi="Arial" w:cs="Arial"/>
          <w:sz w:val="24"/>
          <w:szCs w:val="24"/>
          <w:lang w:val="en-GB"/>
        </w:rPr>
        <w:t>when drafting new rules governing the use of EU funds</w:t>
      </w:r>
      <w:r w:rsidR="00DB2ECC">
        <w:rPr>
          <w:rFonts w:ascii="Arial" w:hAnsi="Arial" w:cs="Arial"/>
          <w:sz w:val="24"/>
          <w:szCs w:val="24"/>
          <w:lang w:val="en-GB"/>
        </w:rPr>
        <w:t>. I</w:t>
      </w:r>
      <w:r w:rsidRPr="008F79F1">
        <w:rPr>
          <w:rFonts w:ascii="Arial" w:hAnsi="Arial" w:cs="Arial"/>
          <w:sz w:val="24"/>
          <w:szCs w:val="24"/>
          <w:lang w:val="en-GB"/>
        </w:rPr>
        <w:t>n line with the partnership principle, ensure meaningful involvement of persons with disabilities and their representative organisations throughout this process.</w:t>
      </w:r>
    </w:p>
    <w:p w14:paraId="5915AE4D" w14:textId="26780A6A" w:rsidR="00DB2ECC" w:rsidRPr="008F79F1" w:rsidRDefault="00DB2ECC" w:rsidP="00ED68A0">
      <w:pPr>
        <w:pStyle w:val="Paragraphedeliste"/>
        <w:numPr>
          <w:ilvl w:val="0"/>
          <w:numId w:val="24"/>
        </w:numPr>
        <w:spacing w:line="276" w:lineRule="auto"/>
        <w:jc w:val="both"/>
        <w:rPr>
          <w:rFonts w:ascii="Arial" w:hAnsi="Arial" w:cs="Arial"/>
          <w:sz w:val="24"/>
          <w:szCs w:val="24"/>
          <w:lang w:val="en-GB"/>
        </w:rPr>
      </w:pPr>
      <w:r>
        <w:rPr>
          <w:rFonts w:ascii="Arial" w:hAnsi="Arial" w:cs="Arial"/>
          <w:b/>
          <w:bCs/>
          <w:sz w:val="24"/>
          <w:szCs w:val="24"/>
          <w:lang w:val="en-GB"/>
        </w:rPr>
        <w:t xml:space="preserve">Improve the collection of data about projects benefiting persons with disabilities, </w:t>
      </w:r>
      <w:r>
        <w:rPr>
          <w:rFonts w:ascii="Arial" w:hAnsi="Arial" w:cs="Arial"/>
          <w:sz w:val="24"/>
          <w:szCs w:val="24"/>
          <w:lang w:val="en-GB"/>
        </w:rPr>
        <w:t>ensuring they include sufficient information to identify how many people moved out of an institution, where they moved to, what support services, or housing have been funded etc. This would allow us to better understand the impact of EU funds on persons with disabilities and the right to independent living.</w:t>
      </w:r>
    </w:p>
    <w:p w14:paraId="02D6F44F" w14:textId="635A2DC3" w:rsidR="00C727CD" w:rsidRPr="008F79F1" w:rsidRDefault="00551E40" w:rsidP="00694DFA">
      <w:pPr>
        <w:pStyle w:val="Titre2"/>
        <w:spacing w:line="276" w:lineRule="auto"/>
        <w:jc w:val="both"/>
        <w:rPr>
          <w:lang w:val="en-GB"/>
        </w:rPr>
      </w:pPr>
      <w:bookmarkStart w:id="4" w:name="_Toc196926854"/>
      <w:r w:rsidRPr="008F79F1">
        <w:rPr>
          <w:lang w:val="en-GB"/>
        </w:rPr>
        <w:t xml:space="preserve">Maintain </w:t>
      </w:r>
      <w:r w:rsidR="00C727CD" w:rsidRPr="008F79F1">
        <w:rPr>
          <w:lang w:val="en-GB"/>
        </w:rPr>
        <w:t>enabling conditions</w:t>
      </w:r>
      <w:bookmarkEnd w:id="4"/>
      <w:r w:rsidRPr="008F79F1">
        <w:rPr>
          <w:lang w:val="en-GB"/>
        </w:rPr>
        <w:t xml:space="preserve"> and strengthen their implementation</w:t>
      </w:r>
    </w:p>
    <w:p w14:paraId="0B672B55" w14:textId="314F3589" w:rsidR="00C727CD" w:rsidRPr="008F79F1" w:rsidRDefault="00612B50" w:rsidP="00694DFA">
      <w:pPr>
        <w:spacing w:line="276" w:lineRule="auto"/>
        <w:jc w:val="both"/>
        <w:rPr>
          <w:rFonts w:ascii="Arial" w:hAnsi="Arial" w:cs="Arial"/>
          <w:sz w:val="24"/>
          <w:szCs w:val="24"/>
          <w:lang w:val="en-GB"/>
        </w:rPr>
      </w:pPr>
      <w:r w:rsidRPr="008F79F1">
        <w:rPr>
          <w:rFonts w:ascii="Arial" w:hAnsi="Arial" w:cs="Arial"/>
          <w:sz w:val="24"/>
          <w:szCs w:val="24"/>
          <w:lang w:val="en-GB"/>
        </w:rPr>
        <w:t>T</w:t>
      </w:r>
      <w:r w:rsidR="00C727CD" w:rsidRPr="008F79F1">
        <w:rPr>
          <w:rFonts w:ascii="Arial" w:hAnsi="Arial" w:cs="Arial"/>
          <w:sz w:val="24"/>
          <w:szCs w:val="24"/>
          <w:lang w:val="en-GB"/>
        </w:rPr>
        <w:t xml:space="preserve">he current </w:t>
      </w:r>
      <w:r w:rsidRPr="008F79F1">
        <w:rPr>
          <w:rFonts w:ascii="Arial" w:hAnsi="Arial" w:cs="Arial"/>
          <w:sz w:val="24"/>
          <w:szCs w:val="24"/>
          <w:lang w:val="en-GB"/>
        </w:rPr>
        <w:t>Common Provisions R</w:t>
      </w:r>
      <w:r w:rsidR="00C727CD" w:rsidRPr="008F79F1">
        <w:rPr>
          <w:rFonts w:ascii="Arial" w:hAnsi="Arial" w:cs="Arial"/>
          <w:sz w:val="24"/>
          <w:szCs w:val="24"/>
          <w:lang w:val="en-GB"/>
        </w:rPr>
        <w:t xml:space="preserve">egulations </w:t>
      </w:r>
      <w:r w:rsidRPr="008F79F1">
        <w:rPr>
          <w:rFonts w:ascii="Arial" w:hAnsi="Arial" w:cs="Arial"/>
          <w:sz w:val="24"/>
          <w:szCs w:val="24"/>
          <w:lang w:val="en-GB"/>
        </w:rPr>
        <w:t>contain a number of</w:t>
      </w:r>
      <w:r w:rsidR="00C727CD" w:rsidRPr="008F79F1">
        <w:rPr>
          <w:rFonts w:ascii="Arial" w:hAnsi="Arial" w:cs="Arial"/>
          <w:sz w:val="24"/>
          <w:szCs w:val="24"/>
          <w:lang w:val="en-GB"/>
        </w:rPr>
        <w:t xml:space="preserve"> enabling conditions</w:t>
      </w:r>
      <w:r w:rsidRPr="008F79F1">
        <w:rPr>
          <w:rFonts w:ascii="Arial" w:hAnsi="Arial" w:cs="Arial"/>
          <w:sz w:val="24"/>
          <w:szCs w:val="24"/>
          <w:lang w:val="en-GB"/>
        </w:rPr>
        <w:t>, which the Member States are required to fulfil</w:t>
      </w:r>
      <w:r w:rsidR="00C727CD" w:rsidRPr="008F79F1">
        <w:rPr>
          <w:rFonts w:ascii="Arial" w:hAnsi="Arial" w:cs="Arial"/>
          <w:sz w:val="24"/>
          <w:szCs w:val="24"/>
          <w:lang w:val="en-GB"/>
        </w:rPr>
        <w:t xml:space="preserve"> to receive EU funds</w:t>
      </w:r>
      <w:r w:rsidRPr="008F79F1">
        <w:rPr>
          <w:rFonts w:ascii="Arial" w:hAnsi="Arial" w:cs="Arial"/>
          <w:sz w:val="24"/>
          <w:szCs w:val="24"/>
          <w:lang w:val="en-GB"/>
        </w:rPr>
        <w:t>. Among these is</w:t>
      </w:r>
      <w:r w:rsidR="00C727CD" w:rsidRPr="008F79F1">
        <w:rPr>
          <w:rFonts w:ascii="Arial" w:hAnsi="Arial" w:cs="Arial"/>
          <w:sz w:val="24"/>
          <w:szCs w:val="24"/>
          <w:lang w:val="en-GB"/>
        </w:rPr>
        <w:t xml:space="preserve"> the horizontal enabling condition on the implementation of the UNCRPD, which applies to all funding; and the thematic enabling condition on the transition from institutional community-based care, which is sector-specific, laying out the conditions in this area. If the conditions are not met at the time a Member State requests a payment to the Commission, the Commission will not reimburse the expenses to the Member State.</w:t>
      </w:r>
    </w:p>
    <w:p w14:paraId="17B8500D" w14:textId="218E6D8D" w:rsidR="00410C85" w:rsidRPr="008F79F1" w:rsidRDefault="00612B50" w:rsidP="00410C85">
      <w:pPr>
        <w:spacing w:line="276" w:lineRule="auto"/>
        <w:jc w:val="both"/>
        <w:rPr>
          <w:rFonts w:ascii="Arial" w:hAnsi="Arial" w:cs="Arial"/>
          <w:sz w:val="24"/>
          <w:szCs w:val="24"/>
          <w:lang w:val="en-GB"/>
        </w:rPr>
      </w:pPr>
      <w:r w:rsidRPr="008F79F1">
        <w:rPr>
          <w:rFonts w:ascii="Arial" w:hAnsi="Arial" w:cs="Arial"/>
          <w:sz w:val="24"/>
          <w:szCs w:val="24"/>
          <w:lang w:val="en-GB"/>
        </w:rPr>
        <w:t xml:space="preserve">The enabling conditions are crucial in ensuring compliance with the UNCRPD and the EU Fundamental Rights Charter. If applied properly, they should </w:t>
      </w:r>
      <w:r w:rsidR="00F91233" w:rsidRPr="008F79F1">
        <w:rPr>
          <w:rFonts w:ascii="Arial" w:hAnsi="Arial" w:cs="Arial"/>
          <w:sz w:val="24"/>
          <w:szCs w:val="24"/>
          <w:lang w:val="en-GB"/>
        </w:rPr>
        <w:t>prevent or interrupt</w:t>
      </w:r>
      <w:r w:rsidRPr="008F79F1">
        <w:rPr>
          <w:rFonts w:ascii="Arial" w:hAnsi="Arial" w:cs="Arial"/>
          <w:sz w:val="24"/>
          <w:szCs w:val="24"/>
          <w:lang w:val="en-GB"/>
        </w:rPr>
        <w:t xml:space="preserve"> investments that violate the rights of persons with disabilities and other marginalised groups.</w:t>
      </w:r>
      <w:r w:rsidR="00410C85" w:rsidRPr="008F79F1">
        <w:rPr>
          <w:rFonts w:ascii="Arial" w:hAnsi="Arial" w:cs="Arial"/>
          <w:sz w:val="24"/>
          <w:szCs w:val="24"/>
          <w:lang w:val="en-GB"/>
        </w:rPr>
        <w:t xml:space="preserve"> </w:t>
      </w:r>
    </w:p>
    <w:p w14:paraId="41E187EE" w14:textId="45CC713B" w:rsidR="00410C85" w:rsidRPr="008F79F1" w:rsidRDefault="00410C85" w:rsidP="00410C85">
      <w:pPr>
        <w:spacing w:line="276" w:lineRule="auto"/>
        <w:jc w:val="both"/>
        <w:rPr>
          <w:rFonts w:ascii="Arial" w:hAnsi="Arial" w:cs="Arial"/>
          <w:sz w:val="24"/>
          <w:szCs w:val="24"/>
          <w:lang w:val="en-GB"/>
        </w:rPr>
      </w:pPr>
      <w:r w:rsidRPr="008F79F1">
        <w:rPr>
          <w:rFonts w:ascii="Arial" w:hAnsi="Arial" w:cs="Arial"/>
          <w:sz w:val="24"/>
          <w:szCs w:val="24"/>
          <w:lang w:val="en-GB"/>
        </w:rPr>
        <w:t>ENIL submitted an access to documents request to the Commission in 2023 to understand the evaluation of the horizontal enabling conditions. In the response, we received a checklist used by the Commission setting out the different criteria</w:t>
      </w:r>
      <w:r w:rsidR="00F91233" w:rsidRPr="008F79F1">
        <w:rPr>
          <w:rFonts w:ascii="Arial" w:hAnsi="Arial" w:cs="Arial"/>
          <w:sz w:val="24"/>
          <w:szCs w:val="24"/>
          <w:lang w:val="en-GB"/>
        </w:rPr>
        <w:t xml:space="preserve"> used to assess compliance with the UNCRPD enabling condition. Member States are required to have in place:</w:t>
      </w:r>
    </w:p>
    <w:p w14:paraId="0428838A" w14:textId="77777777" w:rsidR="00410C85" w:rsidRPr="008F79F1" w:rsidRDefault="00410C85" w:rsidP="00410C85">
      <w:pPr>
        <w:pStyle w:val="Paragraphedeliste"/>
        <w:widowControl w:val="0"/>
        <w:numPr>
          <w:ilvl w:val="0"/>
          <w:numId w:val="21"/>
        </w:numPr>
        <w:tabs>
          <w:tab w:val="left" w:pos="1070"/>
          <w:tab w:val="left" w:pos="1073"/>
        </w:tabs>
        <w:autoSpaceDE w:val="0"/>
        <w:autoSpaceDN w:val="0"/>
        <w:spacing w:before="115" w:after="0" w:line="276" w:lineRule="auto"/>
        <w:ind w:right="357"/>
        <w:contextualSpacing w:val="0"/>
        <w:jc w:val="both"/>
        <w:rPr>
          <w:rFonts w:ascii="Arial" w:hAnsi="Arial" w:cs="Arial"/>
          <w:sz w:val="24"/>
          <w:szCs w:val="24"/>
          <w:lang w:val="en-GB"/>
        </w:rPr>
      </w:pPr>
      <w:r w:rsidRPr="008F79F1">
        <w:rPr>
          <w:rFonts w:ascii="Arial" w:hAnsi="Arial" w:cs="Arial"/>
          <w:sz w:val="24"/>
          <w:szCs w:val="24"/>
          <w:lang w:val="en-GB"/>
        </w:rPr>
        <w:t xml:space="preserve">Objectives with measurable goals, data collection and monitoring </w:t>
      </w:r>
      <w:r w:rsidRPr="008F79F1">
        <w:rPr>
          <w:rFonts w:ascii="Arial" w:hAnsi="Arial" w:cs="Arial"/>
          <w:sz w:val="24"/>
          <w:szCs w:val="24"/>
          <w:lang w:val="en-GB"/>
        </w:rPr>
        <w:lastRenderedPageBreak/>
        <w:t xml:space="preserve">mechanisms. </w:t>
      </w:r>
    </w:p>
    <w:p w14:paraId="214B02F3" w14:textId="77777777" w:rsidR="00410C85" w:rsidRPr="008F79F1" w:rsidRDefault="00410C85" w:rsidP="00410C85">
      <w:pPr>
        <w:pStyle w:val="Paragraphedeliste"/>
        <w:widowControl w:val="0"/>
        <w:numPr>
          <w:ilvl w:val="0"/>
          <w:numId w:val="21"/>
        </w:numPr>
        <w:tabs>
          <w:tab w:val="left" w:pos="1070"/>
          <w:tab w:val="left" w:pos="1073"/>
        </w:tabs>
        <w:autoSpaceDE w:val="0"/>
        <w:autoSpaceDN w:val="0"/>
        <w:spacing w:before="81" w:after="0" w:line="276" w:lineRule="auto"/>
        <w:ind w:right="364"/>
        <w:contextualSpacing w:val="0"/>
        <w:jc w:val="both"/>
        <w:rPr>
          <w:rFonts w:ascii="Arial" w:hAnsi="Arial" w:cs="Arial"/>
          <w:sz w:val="24"/>
          <w:szCs w:val="24"/>
          <w:lang w:val="en-GB"/>
        </w:rPr>
      </w:pPr>
      <w:r w:rsidRPr="008F79F1">
        <w:rPr>
          <w:rFonts w:ascii="Arial" w:hAnsi="Arial" w:cs="Arial"/>
          <w:sz w:val="24"/>
          <w:szCs w:val="24"/>
          <w:lang w:val="en-GB"/>
        </w:rPr>
        <w:t>Arrangements</w:t>
      </w:r>
      <w:r w:rsidRPr="008F79F1">
        <w:rPr>
          <w:rFonts w:ascii="Arial" w:hAnsi="Arial" w:cs="Arial"/>
          <w:spacing w:val="-5"/>
          <w:sz w:val="24"/>
          <w:szCs w:val="24"/>
          <w:lang w:val="en-GB"/>
        </w:rPr>
        <w:t xml:space="preserve"> </w:t>
      </w:r>
      <w:r w:rsidRPr="008F79F1">
        <w:rPr>
          <w:rFonts w:ascii="Arial" w:hAnsi="Arial" w:cs="Arial"/>
          <w:sz w:val="24"/>
          <w:szCs w:val="24"/>
          <w:lang w:val="en-GB"/>
        </w:rPr>
        <w:t>to</w:t>
      </w:r>
      <w:r w:rsidRPr="008F79F1">
        <w:rPr>
          <w:rFonts w:ascii="Arial" w:hAnsi="Arial" w:cs="Arial"/>
          <w:spacing w:val="-6"/>
          <w:sz w:val="24"/>
          <w:szCs w:val="24"/>
          <w:lang w:val="en-GB"/>
        </w:rPr>
        <w:t xml:space="preserve"> </w:t>
      </w:r>
      <w:r w:rsidRPr="008F79F1">
        <w:rPr>
          <w:rFonts w:ascii="Arial" w:hAnsi="Arial" w:cs="Arial"/>
          <w:sz w:val="24"/>
          <w:szCs w:val="24"/>
          <w:lang w:val="en-GB"/>
        </w:rPr>
        <w:t>ensure</w:t>
      </w:r>
      <w:r w:rsidRPr="008F79F1">
        <w:rPr>
          <w:rFonts w:ascii="Arial" w:hAnsi="Arial" w:cs="Arial"/>
          <w:spacing w:val="-5"/>
          <w:sz w:val="24"/>
          <w:szCs w:val="24"/>
          <w:lang w:val="en-GB"/>
        </w:rPr>
        <w:t xml:space="preserve"> </w:t>
      </w:r>
      <w:r w:rsidRPr="008F79F1">
        <w:rPr>
          <w:rFonts w:ascii="Arial" w:hAnsi="Arial" w:cs="Arial"/>
          <w:sz w:val="24"/>
          <w:szCs w:val="24"/>
          <w:lang w:val="en-GB"/>
        </w:rPr>
        <w:t>that</w:t>
      </w:r>
      <w:r w:rsidRPr="008F79F1">
        <w:rPr>
          <w:rFonts w:ascii="Arial" w:hAnsi="Arial" w:cs="Arial"/>
          <w:spacing w:val="-6"/>
          <w:sz w:val="24"/>
          <w:szCs w:val="24"/>
          <w:lang w:val="en-GB"/>
        </w:rPr>
        <w:t xml:space="preserve"> </w:t>
      </w:r>
      <w:r w:rsidRPr="008F79F1">
        <w:rPr>
          <w:rFonts w:ascii="Arial" w:hAnsi="Arial" w:cs="Arial"/>
          <w:sz w:val="24"/>
          <w:szCs w:val="24"/>
          <w:lang w:val="en-GB"/>
        </w:rPr>
        <w:t>the</w:t>
      </w:r>
      <w:r w:rsidRPr="008F79F1">
        <w:rPr>
          <w:rFonts w:ascii="Arial" w:hAnsi="Arial" w:cs="Arial"/>
          <w:spacing w:val="-7"/>
          <w:sz w:val="24"/>
          <w:szCs w:val="24"/>
          <w:lang w:val="en-GB"/>
        </w:rPr>
        <w:t xml:space="preserve"> </w:t>
      </w:r>
      <w:r w:rsidRPr="008F79F1">
        <w:rPr>
          <w:rFonts w:ascii="Arial" w:hAnsi="Arial" w:cs="Arial"/>
          <w:sz w:val="24"/>
          <w:szCs w:val="24"/>
          <w:lang w:val="en-GB"/>
        </w:rPr>
        <w:t>accessibility</w:t>
      </w:r>
      <w:r w:rsidRPr="008F79F1">
        <w:rPr>
          <w:rFonts w:ascii="Arial" w:hAnsi="Arial" w:cs="Arial"/>
          <w:spacing w:val="-7"/>
          <w:sz w:val="24"/>
          <w:szCs w:val="24"/>
          <w:lang w:val="en-GB"/>
        </w:rPr>
        <w:t xml:space="preserve"> </w:t>
      </w:r>
      <w:r w:rsidRPr="008F79F1">
        <w:rPr>
          <w:rFonts w:ascii="Arial" w:hAnsi="Arial" w:cs="Arial"/>
          <w:sz w:val="24"/>
          <w:szCs w:val="24"/>
          <w:lang w:val="en-GB"/>
        </w:rPr>
        <w:t>policy,</w:t>
      </w:r>
      <w:r w:rsidRPr="008F79F1">
        <w:rPr>
          <w:rFonts w:ascii="Arial" w:hAnsi="Arial" w:cs="Arial"/>
          <w:spacing w:val="-5"/>
          <w:sz w:val="24"/>
          <w:szCs w:val="24"/>
          <w:lang w:val="en-GB"/>
        </w:rPr>
        <w:t xml:space="preserve"> </w:t>
      </w:r>
      <w:r w:rsidRPr="008F79F1">
        <w:rPr>
          <w:rFonts w:ascii="Arial" w:hAnsi="Arial" w:cs="Arial"/>
          <w:sz w:val="24"/>
          <w:szCs w:val="24"/>
          <w:lang w:val="en-GB"/>
        </w:rPr>
        <w:t>legislation</w:t>
      </w:r>
      <w:r w:rsidRPr="008F79F1">
        <w:rPr>
          <w:rFonts w:ascii="Arial" w:hAnsi="Arial" w:cs="Arial"/>
          <w:spacing w:val="-7"/>
          <w:sz w:val="24"/>
          <w:szCs w:val="24"/>
          <w:lang w:val="en-GB"/>
        </w:rPr>
        <w:t xml:space="preserve"> </w:t>
      </w:r>
      <w:r w:rsidRPr="008F79F1">
        <w:rPr>
          <w:rFonts w:ascii="Arial" w:hAnsi="Arial" w:cs="Arial"/>
          <w:sz w:val="24"/>
          <w:szCs w:val="24"/>
          <w:lang w:val="en-GB"/>
        </w:rPr>
        <w:t>and</w:t>
      </w:r>
      <w:r w:rsidRPr="008F79F1">
        <w:rPr>
          <w:rFonts w:ascii="Arial" w:hAnsi="Arial" w:cs="Arial"/>
          <w:spacing w:val="-9"/>
          <w:sz w:val="24"/>
          <w:szCs w:val="24"/>
          <w:lang w:val="en-GB"/>
        </w:rPr>
        <w:t xml:space="preserve"> </w:t>
      </w:r>
      <w:r w:rsidRPr="008F79F1">
        <w:rPr>
          <w:rFonts w:ascii="Arial" w:hAnsi="Arial" w:cs="Arial"/>
          <w:sz w:val="24"/>
          <w:szCs w:val="24"/>
          <w:lang w:val="en-GB"/>
        </w:rPr>
        <w:t>standards</w:t>
      </w:r>
      <w:r w:rsidRPr="008F79F1">
        <w:rPr>
          <w:rFonts w:ascii="Arial" w:hAnsi="Arial" w:cs="Arial"/>
          <w:spacing w:val="-5"/>
          <w:sz w:val="24"/>
          <w:szCs w:val="24"/>
          <w:lang w:val="en-GB"/>
        </w:rPr>
        <w:t xml:space="preserve"> </w:t>
      </w:r>
      <w:r w:rsidRPr="008F79F1">
        <w:rPr>
          <w:rFonts w:ascii="Arial" w:hAnsi="Arial" w:cs="Arial"/>
          <w:sz w:val="24"/>
          <w:szCs w:val="24"/>
          <w:lang w:val="en-GB"/>
        </w:rPr>
        <w:t xml:space="preserve">are properly reflected in the preparation and implementation of the programmes. </w:t>
      </w:r>
    </w:p>
    <w:p w14:paraId="162D6B6F" w14:textId="6C0D96B7" w:rsidR="00612B50" w:rsidRPr="008F79F1" w:rsidRDefault="00410C85" w:rsidP="00694DFA">
      <w:pPr>
        <w:pStyle w:val="Paragraphedeliste"/>
        <w:widowControl w:val="0"/>
        <w:numPr>
          <w:ilvl w:val="0"/>
          <w:numId w:val="21"/>
        </w:numPr>
        <w:tabs>
          <w:tab w:val="left" w:pos="1078"/>
          <w:tab w:val="left" w:pos="1080"/>
        </w:tabs>
        <w:autoSpaceDE w:val="0"/>
        <w:autoSpaceDN w:val="0"/>
        <w:spacing w:before="118" w:after="0" w:line="276" w:lineRule="auto"/>
        <w:ind w:left="1080" w:right="352" w:hanging="360"/>
        <w:contextualSpacing w:val="0"/>
        <w:jc w:val="both"/>
        <w:rPr>
          <w:rFonts w:ascii="Arial" w:hAnsi="Arial" w:cs="Arial"/>
          <w:sz w:val="24"/>
          <w:szCs w:val="24"/>
          <w:lang w:val="en-GB"/>
        </w:rPr>
      </w:pPr>
      <w:r w:rsidRPr="008F79F1">
        <w:rPr>
          <w:rFonts w:ascii="Arial" w:hAnsi="Arial" w:cs="Arial"/>
          <w:sz w:val="24"/>
          <w:szCs w:val="24"/>
          <w:lang w:val="en-GB"/>
        </w:rPr>
        <w:t>Reporting arrangements for the monitoring committee regarding cases of non- compliance of operations supported by the Funds with the UNCRPD and complaints regarding the UNCRPD submitted in accordance with the arrangements made pursuant to Article 63(6)CPR.</w:t>
      </w:r>
    </w:p>
    <w:p w14:paraId="3C8A03E6" w14:textId="77777777" w:rsidR="00943BA1" w:rsidRPr="008F79F1" w:rsidRDefault="00943BA1" w:rsidP="00943BA1">
      <w:pPr>
        <w:pStyle w:val="Paragraphedeliste"/>
        <w:widowControl w:val="0"/>
        <w:numPr>
          <w:ilvl w:val="0"/>
          <w:numId w:val="0"/>
        </w:numPr>
        <w:tabs>
          <w:tab w:val="left" w:pos="1078"/>
          <w:tab w:val="left" w:pos="1080"/>
        </w:tabs>
        <w:autoSpaceDE w:val="0"/>
        <w:autoSpaceDN w:val="0"/>
        <w:spacing w:before="118" w:after="0" w:line="276" w:lineRule="auto"/>
        <w:ind w:left="1080" w:right="352"/>
        <w:contextualSpacing w:val="0"/>
        <w:jc w:val="both"/>
        <w:rPr>
          <w:rFonts w:ascii="Arial" w:hAnsi="Arial" w:cs="Arial"/>
          <w:sz w:val="24"/>
          <w:szCs w:val="24"/>
          <w:lang w:val="en-GB"/>
        </w:rPr>
      </w:pPr>
    </w:p>
    <w:p w14:paraId="1ACA88EF" w14:textId="18DDD2E9" w:rsidR="00410C85" w:rsidRPr="008F79F1" w:rsidRDefault="00C727CD"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However, </w:t>
      </w:r>
      <w:r w:rsidR="00612B50" w:rsidRPr="008F79F1">
        <w:rPr>
          <w:rFonts w:ascii="Arial" w:hAnsi="Arial" w:cs="Arial"/>
          <w:sz w:val="24"/>
          <w:szCs w:val="24"/>
          <w:lang w:val="en-GB"/>
        </w:rPr>
        <w:t xml:space="preserve">due </w:t>
      </w:r>
      <w:r w:rsidR="00410C85" w:rsidRPr="008F79F1">
        <w:rPr>
          <w:rFonts w:ascii="Arial" w:hAnsi="Arial" w:cs="Arial"/>
          <w:sz w:val="24"/>
          <w:szCs w:val="24"/>
          <w:lang w:val="en-GB"/>
        </w:rPr>
        <w:t>to the self-assessment of the enabling conditions by the Managing Authorities, they have failed to achieve the intended objectives. This was confirmed by the European Ombudsman in the</w:t>
      </w:r>
      <w:r w:rsidR="00943BA1" w:rsidRPr="008F79F1">
        <w:rPr>
          <w:rFonts w:ascii="Arial" w:hAnsi="Arial" w:cs="Arial"/>
          <w:sz w:val="24"/>
          <w:szCs w:val="24"/>
          <w:lang w:val="en-GB"/>
        </w:rPr>
        <w:t xml:space="preserve"> February 2025</w:t>
      </w:r>
      <w:r w:rsidR="00410C85" w:rsidRPr="008F79F1">
        <w:rPr>
          <w:rFonts w:ascii="Arial" w:hAnsi="Arial" w:cs="Arial"/>
          <w:sz w:val="24"/>
          <w:szCs w:val="24"/>
          <w:lang w:val="en-GB"/>
        </w:rPr>
        <w:t xml:space="preserve"> inquiry</w:t>
      </w:r>
      <w:r w:rsidR="00943BA1" w:rsidRPr="008F79F1">
        <w:rPr>
          <w:rStyle w:val="Appelnotedebasdep"/>
          <w:rFonts w:ascii="Arial" w:hAnsi="Arial" w:cs="Arial"/>
          <w:sz w:val="24"/>
          <w:szCs w:val="24"/>
          <w:lang w:val="en-GB"/>
        </w:rPr>
        <w:footnoteReference w:id="18"/>
      </w:r>
      <w:r w:rsidR="00410C85" w:rsidRPr="008F79F1">
        <w:rPr>
          <w:rFonts w:ascii="Arial" w:hAnsi="Arial" w:cs="Arial"/>
          <w:sz w:val="24"/>
          <w:szCs w:val="24"/>
          <w:lang w:val="en-GB"/>
        </w:rPr>
        <w:t xml:space="preserve"> into how the European Commission ensures fundamental rights compliance in the context of EU funds granted to Greece for border management. The Omb</w:t>
      </w:r>
      <w:r w:rsidR="00943BA1" w:rsidRPr="008F79F1">
        <w:rPr>
          <w:rFonts w:ascii="Arial" w:hAnsi="Arial" w:cs="Arial"/>
          <w:sz w:val="24"/>
          <w:szCs w:val="24"/>
          <w:lang w:val="en-GB"/>
        </w:rPr>
        <w:t>udsman asked the Commission to:</w:t>
      </w:r>
    </w:p>
    <w:p w14:paraId="461F31EE" w14:textId="691397A3" w:rsidR="00943BA1" w:rsidRPr="008F79F1" w:rsidRDefault="00943BA1" w:rsidP="00BD7001">
      <w:pPr>
        <w:spacing w:line="276" w:lineRule="auto"/>
        <w:ind w:left="708"/>
        <w:jc w:val="both"/>
        <w:rPr>
          <w:rFonts w:ascii="Arial" w:hAnsi="Arial" w:cs="Arial"/>
          <w:sz w:val="24"/>
          <w:szCs w:val="24"/>
          <w:lang w:val="en-GB"/>
        </w:rPr>
      </w:pPr>
      <w:r w:rsidRPr="008F79F1">
        <w:rPr>
          <w:rFonts w:ascii="Arial" w:hAnsi="Arial" w:cs="Arial"/>
          <w:sz w:val="24"/>
          <w:szCs w:val="24"/>
          <w:lang w:val="en-GB"/>
        </w:rPr>
        <w:t xml:space="preserve">“Put in place guidelines for assessing compliance with fundamental rights, notably the horizontal enabling condition relating to the Charter of Fundamental Rights (the Charter HEC), throughout the course of the programming period. </w:t>
      </w:r>
      <w:r w:rsidRPr="008F79F1">
        <w:rPr>
          <w:rFonts w:ascii="Arial" w:hAnsi="Arial" w:cs="Arial"/>
          <w:b/>
          <w:bCs/>
          <w:sz w:val="24"/>
          <w:szCs w:val="24"/>
          <w:lang w:val="en-GB"/>
        </w:rPr>
        <w:t>The guidelines should include the need to take into account independent sources of information in the Commission’s assessments.</w:t>
      </w:r>
      <w:r w:rsidRPr="008F79F1">
        <w:rPr>
          <w:rFonts w:ascii="Arial" w:hAnsi="Arial" w:cs="Arial"/>
          <w:sz w:val="24"/>
          <w:szCs w:val="24"/>
          <w:lang w:val="en-GB"/>
        </w:rPr>
        <w:t xml:space="preserve"> As part of these guidelines, the Commission should establish criteria to determine under what circumstances it will withhold or suspend EU funds for non-compliance with fundamental rights and/or the </w:t>
      </w:r>
      <w:r w:rsidR="00F91233" w:rsidRPr="008F79F1">
        <w:rPr>
          <w:rFonts w:ascii="Arial" w:hAnsi="Arial" w:cs="Arial"/>
          <w:sz w:val="24"/>
          <w:szCs w:val="24"/>
          <w:lang w:val="en-GB"/>
        </w:rPr>
        <w:t>Charter HEC, and</w:t>
      </w:r>
      <w:r w:rsidRPr="008F79F1">
        <w:rPr>
          <w:rFonts w:ascii="Arial" w:hAnsi="Arial" w:cs="Arial"/>
          <w:sz w:val="24"/>
          <w:szCs w:val="24"/>
          <w:lang w:val="en-GB"/>
        </w:rPr>
        <w:t xml:space="preserve"> publish these criteria.”</w:t>
      </w:r>
      <w:r w:rsidR="00BD7001" w:rsidRPr="008F79F1">
        <w:rPr>
          <w:rFonts w:ascii="Arial" w:hAnsi="Arial" w:cs="Arial"/>
          <w:sz w:val="24"/>
          <w:szCs w:val="24"/>
          <w:lang w:val="en-GB"/>
        </w:rPr>
        <w:t xml:space="preserve"> (emphasis added)</w:t>
      </w:r>
    </w:p>
    <w:p w14:paraId="17704814" w14:textId="11CD6840" w:rsidR="00F81906" w:rsidRPr="008F79F1" w:rsidRDefault="00C727CD" w:rsidP="00F91233">
      <w:pPr>
        <w:pStyle w:val="Corpsdetexte"/>
        <w:spacing w:before="121" w:after="240" w:line="276" w:lineRule="auto"/>
        <w:jc w:val="both"/>
        <w:rPr>
          <w:rFonts w:ascii="Arial" w:hAnsi="Arial" w:cs="Arial"/>
          <w:lang w:val="en-GB"/>
        </w:rPr>
      </w:pPr>
      <w:r w:rsidRPr="008F79F1">
        <w:rPr>
          <w:rFonts w:ascii="Arial" w:hAnsi="Arial" w:cs="Arial"/>
          <w:lang w:val="en-GB"/>
        </w:rPr>
        <w:t>Having</w:t>
      </w:r>
      <w:r w:rsidRPr="008F79F1">
        <w:rPr>
          <w:rFonts w:ascii="Arial" w:hAnsi="Arial" w:cs="Arial"/>
          <w:spacing w:val="-14"/>
          <w:lang w:val="en-GB"/>
        </w:rPr>
        <w:t xml:space="preserve"> </w:t>
      </w:r>
      <w:r w:rsidRPr="008F79F1">
        <w:rPr>
          <w:rFonts w:ascii="Arial" w:hAnsi="Arial" w:cs="Arial"/>
          <w:lang w:val="en-GB"/>
        </w:rPr>
        <w:t>reviewed</w:t>
      </w:r>
      <w:r w:rsidRPr="008F79F1">
        <w:rPr>
          <w:rFonts w:ascii="Arial" w:hAnsi="Arial" w:cs="Arial"/>
          <w:spacing w:val="-14"/>
          <w:lang w:val="en-GB"/>
        </w:rPr>
        <w:t xml:space="preserve"> </w:t>
      </w:r>
      <w:r w:rsidRPr="008F79F1">
        <w:rPr>
          <w:rFonts w:ascii="Arial" w:hAnsi="Arial" w:cs="Arial"/>
          <w:lang w:val="en-GB"/>
        </w:rPr>
        <w:t>the</w:t>
      </w:r>
      <w:r w:rsidRPr="008F79F1">
        <w:rPr>
          <w:rFonts w:ascii="Arial" w:hAnsi="Arial" w:cs="Arial"/>
          <w:spacing w:val="-14"/>
          <w:lang w:val="en-GB"/>
        </w:rPr>
        <w:t xml:space="preserve"> </w:t>
      </w:r>
      <w:r w:rsidRPr="008F79F1">
        <w:rPr>
          <w:rFonts w:ascii="Arial" w:hAnsi="Arial" w:cs="Arial"/>
          <w:lang w:val="en-GB"/>
        </w:rPr>
        <w:t>documents</w:t>
      </w:r>
      <w:r w:rsidRPr="008F79F1">
        <w:rPr>
          <w:rFonts w:ascii="Arial" w:hAnsi="Arial" w:cs="Arial"/>
          <w:spacing w:val="-14"/>
          <w:lang w:val="en-GB"/>
        </w:rPr>
        <w:t xml:space="preserve"> </w:t>
      </w:r>
      <w:r w:rsidR="00943BA1" w:rsidRPr="008F79F1">
        <w:rPr>
          <w:rFonts w:ascii="Arial" w:hAnsi="Arial" w:cs="Arial"/>
          <w:lang w:val="en-GB"/>
        </w:rPr>
        <w:t>relating</w:t>
      </w:r>
      <w:r w:rsidRPr="008F79F1">
        <w:rPr>
          <w:rFonts w:ascii="Arial" w:hAnsi="Arial" w:cs="Arial"/>
          <w:spacing w:val="-14"/>
          <w:lang w:val="en-GB"/>
        </w:rPr>
        <w:t xml:space="preserve"> </w:t>
      </w:r>
      <w:r w:rsidRPr="008F79F1">
        <w:rPr>
          <w:rFonts w:ascii="Arial" w:hAnsi="Arial" w:cs="Arial"/>
          <w:lang w:val="en-GB"/>
        </w:rPr>
        <w:t>to</w:t>
      </w:r>
      <w:r w:rsidRPr="008F79F1">
        <w:rPr>
          <w:rFonts w:ascii="Arial" w:hAnsi="Arial" w:cs="Arial"/>
          <w:spacing w:val="-14"/>
          <w:lang w:val="en-GB"/>
        </w:rPr>
        <w:t xml:space="preserve"> </w:t>
      </w:r>
      <w:r w:rsidR="00943BA1" w:rsidRPr="008F79F1">
        <w:rPr>
          <w:rFonts w:ascii="Arial" w:hAnsi="Arial" w:cs="Arial"/>
          <w:spacing w:val="-14"/>
          <w:lang w:val="en-GB"/>
        </w:rPr>
        <w:t xml:space="preserve">the fulfilment of the UNCRPD enabling condition by </w:t>
      </w:r>
      <w:r w:rsidRPr="008F79F1">
        <w:rPr>
          <w:rFonts w:ascii="Arial" w:hAnsi="Arial" w:cs="Arial"/>
          <w:lang w:val="en-GB"/>
        </w:rPr>
        <w:t>Latvia,</w:t>
      </w:r>
      <w:r w:rsidRPr="008F79F1">
        <w:rPr>
          <w:rFonts w:ascii="Arial" w:hAnsi="Arial" w:cs="Arial"/>
          <w:spacing w:val="-13"/>
          <w:lang w:val="en-GB"/>
        </w:rPr>
        <w:t xml:space="preserve"> </w:t>
      </w:r>
      <w:r w:rsidR="00943BA1" w:rsidRPr="008F79F1">
        <w:rPr>
          <w:rFonts w:ascii="Arial" w:hAnsi="Arial" w:cs="Arial"/>
          <w:lang w:val="en-GB"/>
        </w:rPr>
        <w:t>ENIL can confirm that</w:t>
      </w:r>
      <w:r w:rsidRPr="008F79F1">
        <w:rPr>
          <w:rFonts w:ascii="Arial" w:hAnsi="Arial" w:cs="Arial"/>
          <w:spacing w:val="-13"/>
          <w:lang w:val="en-GB"/>
        </w:rPr>
        <w:t xml:space="preserve"> </w:t>
      </w:r>
      <w:r w:rsidRPr="008F79F1">
        <w:rPr>
          <w:rFonts w:ascii="Arial" w:hAnsi="Arial" w:cs="Arial"/>
          <w:lang w:val="en-GB"/>
        </w:rPr>
        <w:t>the</w:t>
      </w:r>
      <w:r w:rsidRPr="008F79F1">
        <w:rPr>
          <w:rFonts w:ascii="Arial" w:hAnsi="Arial" w:cs="Arial"/>
          <w:spacing w:val="-13"/>
          <w:lang w:val="en-GB"/>
        </w:rPr>
        <w:t xml:space="preserve"> </w:t>
      </w:r>
      <w:r w:rsidRPr="008F79F1">
        <w:rPr>
          <w:rFonts w:ascii="Arial" w:hAnsi="Arial" w:cs="Arial"/>
          <w:lang w:val="en-GB"/>
        </w:rPr>
        <w:t>only</w:t>
      </w:r>
      <w:r w:rsidRPr="008F79F1">
        <w:rPr>
          <w:rFonts w:ascii="Arial" w:hAnsi="Arial" w:cs="Arial"/>
          <w:spacing w:val="-14"/>
          <w:lang w:val="en-GB"/>
        </w:rPr>
        <w:t xml:space="preserve"> </w:t>
      </w:r>
      <w:r w:rsidRPr="008F79F1">
        <w:rPr>
          <w:rFonts w:ascii="Arial" w:hAnsi="Arial" w:cs="Arial"/>
          <w:lang w:val="en-GB"/>
        </w:rPr>
        <w:t>party consulted by the Commission to establish whether the enabling conditions are being fulfilled</w:t>
      </w:r>
      <w:r w:rsidRPr="008F79F1">
        <w:rPr>
          <w:rFonts w:ascii="Arial" w:hAnsi="Arial" w:cs="Arial"/>
          <w:spacing w:val="-9"/>
          <w:lang w:val="en-GB"/>
        </w:rPr>
        <w:t xml:space="preserve"> </w:t>
      </w:r>
      <w:r w:rsidR="00943BA1" w:rsidRPr="008F79F1">
        <w:rPr>
          <w:rFonts w:ascii="Arial" w:hAnsi="Arial" w:cs="Arial"/>
          <w:lang w:val="en-GB"/>
        </w:rPr>
        <w:t>was</w:t>
      </w:r>
      <w:r w:rsidRPr="008F79F1">
        <w:rPr>
          <w:rFonts w:ascii="Arial" w:hAnsi="Arial" w:cs="Arial"/>
          <w:spacing w:val="-11"/>
          <w:lang w:val="en-GB"/>
        </w:rPr>
        <w:t xml:space="preserve"> </w:t>
      </w:r>
      <w:r w:rsidRPr="008F79F1">
        <w:rPr>
          <w:rFonts w:ascii="Arial" w:hAnsi="Arial" w:cs="Arial"/>
          <w:lang w:val="en-GB"/>
        </w:rPr>
        <w:t>the</w:t>
      </w:r>
      <w:r w:rsidRPr="008F79F1">
        <w:rPr>
          <w:rFonts w:ascii="Arial" w:hAnsi="Arial" w:cs="Arial"/>
          <w:spacing w:val="-9"/>
          <w:lang w:val="en-GB"/>
        </w:rPr>
        <w:t xml:space="preserve"> </w:t>
      </w:r>
      <w:r w:rsidRPr="008F79F1">
        <w:rPr>
          <w:rFonts w:ascii="Arial" w:hAnsi="Arial" w:cs="Arial"/>
          <w:lang w:val="en-GB"/>
        </w:rPr>
        <w:t>Managing</w:t>
      </w:r>
      <w:r w:rsidRPr="008F79F1">
        <w:rPr>
          <w:rFonts w:ascii="Arial" w:hAnsi="Arial" w:cs="Arial"/>
          <w:spacing w:val="-9"/>
          <w:lang w:val="en-GB"/>
        </w:rPr>
        <w:t xml:space="preserve"> </w:t>
      </w:r>
      <w:r w:rsidRPr="008F79F1">
        <w:rPr>
          <w:rFonts w:ascii="Arial" w:hAnsi="Arial" w:cs="Arial"/>
          <w:lang w:val="en-GB"/>
        </w:rPr>
        <w:t>Authority</w:t>
      </w:r>
      <w:r w:rsidRPr="008F79F1">
        <w:rPr>
          <w:rFonts w:ascii="Arial" w:hAnsi="Arial" w:cs="Arial"/>
          <w:spacing w:val="-10"/>
          <w:lang w:val="en-GB"/>
        </w:rPr>
        <w:t xml:space="preserve"> </w:t>
      </w:r>
      <w:r w:rsidRPr="008F79F1">
        <w:rPr>
          <w:rFonts w:ascii="Arial" w:hAnsi="Arial" w:cs="Arial"/>
          <w:lang w:val="en-GB"/>
        </w:rPr>
        <w:t>(i.e.</w:t>
      </w:r>
      <w:r w:rsidRPr="008F79F1">
        <w:rPr>
          <w:rFonts w:ascii="Arial" w:hAnsi="Arial" w:cs="Arial"/>
          <w:spacing w:val="-10"/>
          <w:lang w:val="en-GB"/>
        </w:rPr>
        <w:t xml:space="preserve"> </w:t>
      </w:r>
      <w:r w:rsidRPr="008F79F1">
        <w:rPr>
          <w:rFonts w:ascii="Arial" w:hAnsi="Arial" w:cs="Arial"/>
          <w:lang w:val="en-GB"/>
        </w:rPr>
        <w:t>the</w:t>
      </w:r>
      <w:r w:rsidRPr="008F79F1">
        <w:rPr>
          <w:rFonts w:ascii="Arial" w:hAnsi="Arial" w:cs="Arial"/>
          <w:spacing w:val="-9"/>
          <w:lang w:val="en-GB"/>
        </w:rPr>
        <w:t xml:space="preserve"> </w:t>
      </w:r>
      <w:r w:rsidRPr="008F79F1">
        <w:rPr>
          <w:rFonts w:ascii="Arial" w:hAnsi="Arial" w:cs="Arial"/>
          <w:lang w:val="en-GB"/>
        </w:rPr>
        <w:t>relevant</w:t>
      </w:r>
      <w:r w:rsidRPr="008F79F1">
        <w:rPr>
          <w:rFonts w:ascii="Arial" w:hAnsi="Arial" w:cs="Arial"/>
          <w:spacing w:val="-10"/>
          <w:lang w:val="en-GB"/>
        </w:rPr>
        <w:t xml:space="preserve"> </w:t>
      </w:r>
      <w:r w:rsidRPr="008F79F1">
        <w:rPr>
          <w:rFonts w:ascii="Arial" w:hAnsi="Arial" w:cs="Arial"/>
          <w:lang w:val="en-GB"/>
        </w:rPr>
        <w:t>Ministry).</w:t>
      </w:r>
      <w:r w:rsidRPr="008F79F1">
        <w:rPr>
          <w:rFonts w:ascii="Arial" w:hAnsi="Arial" w:cs="Arial"/>
          <w:spacing w:val="-10"/>
          <w:lang w:val="en-GB"/>
        </w:rPr>
        <w:t xml:space="preserve"> </w:t>
      </w:r>
      <w:r w:rsidRPr="008F79F1">
        <w:rPr>
          <w:rFonts w:ascii="Arial" w:hAnsi="Arial" w:cs="Arial"/>
          <w:lang w:val="en-GB"/>
        </w:rPr>
        <w:t>Furthermore,</w:t>
      </w:r>
      <w:r w:rsidRPr="008F79F1">
        <w:rPr>
          <w:rFonts w:ascii="Arial" w:hAnsi="Arial" w:cs="Arial"/>
          <w:spacing w:val="-3"/>
          <w:lang w:val="en-GB"/>
        </w:rPr>
        <w:t xml:space="preserve"> </w:t>
      </w:r>
      <w:r w:rsidR="00943BA1" w:rsidRPr="008F79F1">
        <w:rPr>
          <w:rFonts w:ascii="Arial" w:hAnsi="Arial" w:cs="Arial"/>
          <w:lang w:val="en-GB"/>
        </w:rPr>
        <w:t>the documents studied confirmed it was</w:t>
      </w:r>
      <w:r w:rsidRPr="008F79F1">
        <w:rPr>
          <w:rFonts w:ascii="Arial" w:hAnsi="Arial" w:cs="Arial"/>
          <w:spacing w:val="-11"/>
          <w:lang w:val="en-GB"/>
        </w:rPr>
        <w:t xml:space="preserve"> </w:t>
      </w:r>
      <w:r w:rsidRPr="008F79F1">
        <w:rPr>
          <w:rFonts w:ascii="Arial" w:hAnsi="Arial" w:cs="Arial"/>
          <w:lang w:val="en-GB"/>
        </w:rPr>
        <w:t>enough</w:t>
      </w:r>
      <w:r w:rsidRPr="008F79F1">
        <w:rPr>
          <w:rFonts w:ascii="Arial" w:hAnsi="Arial" w:cs="Arial"/>
          <w:spacing w:val="-9"/>
          <w:lang w:val="en-GB"/>
        </w:rPr>
        <w:t xml:space="preserve"> </w:t>
      </w:r>
      <w:r w:rsidRPr="008F79F1">
        <w:rPr>
          <w:rFonts w:ascii="Arial" w:hAnsi="Arial" w:cs="Arial"/>
          <w:lang w:val="en-GB"/>
        </w:rPr>
        <w:t>for the</w:t>
      </w:r>
      <w:r w:rsidRPr="008F79F1">
        <w:rPr>
          <w:rFonts w:ascii="Arial" w:hAnsi="Arial" w:cs="Arial"/>
          <w:spacing w:val="-17"/>
          <w:lang w:val="en-GB"/>
        </w:rPr>
        <w:t xml:space="preserve"> </w:t>
      </w:r>
      <w:r w:rsidRPr="008F79F1">
        <w:rPr>
          <w:rFonts w:ascii="Arial" w:hAnsi="Arial" w:cs="Arial"/>
          <w:lang w:val="en-GB"/>
        </w:rPr>
        <w:t>MS</w:t>
      </w:r>
      <w:r w:rsidRPr="008F79F1">
        <w:rPr>
          <w:rFonts w:ascii="Arial" w:hAnsi="Arial" w:cs="Arial"/>
          <w:spacing w:val="-17"/>
          <w:lang w:val="en-GB"/>
        </w:rPr>
        <w:t xml:space="preserve"> </w:t>
      </w:r>
      <w:r w:rsidRPr="008F79F1">
        <w:rPr>
          <w:rFonts w:ascii="Arial" w:hAnsi="Arial" w:cs="Arial"/>
          <w:lang w:val="en-GB"/>
        </w:rPr>
        <w:t>to</w:t>
      </w:r>
      <w:r w:rsidRPr="008F79F1">
        <w:rPr>
          <w:rFonts w:ascii="Arial" w:hAnsi="Arial" w:cs="Arial"/>
          <w:spacing w:val="-16"/>
          <w:lang w:val="en-GB"/>
        </w:rPr>
        <w:t xml:space="preserve"> </w:t>
      </w:r>
      <w:r w:rsidRPr="008F79F1">
        <w:rPr>
          <w:rFonts w:ascii="Arial" w:hAnsi="Arial" w:cs="Arial"/>
          <w:lang w:val="en-GB"/>
        </w:rPr>
        <w:t>have</w:t>
      </w:r>
      <w:r w:rsidRPr="008F79F1">
        <w:rPr>
          <w:rFonts w:ascii="Arial" w:hAnsi="Arial" w:cs="Arial"/>
          <w:spacing w:val="-17"/>
          <w:lang w:val="en-GB"/>
        </w:rPr>
        <w:t xml:space="preserve"> </w:t>
      </w:r>
      <w:r w:rsidRPr="008F79F1">
        <w:rPr>
          <w:rFonts w:ascii="Arial" w:hAnsi="Arial" w:cs="Arial"/>
          <w:lang w:val="en-GB"/>
        </w:rPr>
        <w:t>a</w:t>
      </w:r>
      <w:r w:rsidRPr="008F79F1">
        <w:rPr>
          <w:rFonts w:ascii="Arial" w:hAnsi="Arial" w:cs="Arial"/>
          <w:spacing w:val="-17"/>
          <w:lang w:val="en-GB"/>
        </w:rPr>
        <w:t xml:space="preserve"> </w:t>
      </w:r>
      <w:r w:rsidRPr="008F79F1">
        <w:rPr>
          <w:rFonts w:ascii="Arial" w:hAnsi="Arial" w:cs="Arial"/>
          <w:lang w:val="en-GB"/>
        </w:rPr>
        <w:t>strategy</w:t>
      </w:r>
      <w:r w:rsidRPr="008F79F1">
        <w:rPr>
          <w:rFonts w:ascii="Arial" w:hAnsi="Arial" w:cs="Arial"/>
          <w:spacing w:val="-17"/>
          <w:lang w:val="en-GB"/>
        </w:rPr>
        <w:t xml:space="preserve"> </w:t>
      </w:r>
      <w:r w:rsidRPr="008F79F1">
        <w:rPr>
          <w:rFonts w:ascii="Arial" w:hAnsi="Arial" w:cs="Arial"/>
          <w:lang w:val="en-GB"/>
        </w:rPr>
        <w:t>in</w:t>
      </w:r>
      <w:r w:rsidRPr="008F79F1">
        <w:rPr>
          <w:rFonts w:ascii="Arial" w:hAnsi="Arial" w:cs="Arial"/>
          <w:spacing w:val="-16"/>
          <w:lang w:val="en-GB"/>
        </w:rPr>
        <w:t xml:space="preserve"> </w:t>
      </w:r>
      <w:r w:rsidRPr="008F79F1">
        <w:rPr>
          <w:rFonts w:ascii="Arial" w:hAnsi="Arial" w:cs="Arial"/>
          <w:lang w:val="en-GB"/>
        </w:rPr>
        <w:t>place</w:t>
      </w:r>
      <w:r w:rsidRPr="008F79F1">
        <w:rPr>
          <w:rFonts w:ascii="Arial" w:hAnsi="Arial" w:cs="Arial"/>
          <w:spacing w:val="-17"/>
          <w:lang w:val="en-GB"/>
        </w:rPr>
        <w:t xml:space="preserve"> </w:t>
      </w:r>
      <w:r w:rsidRPr="008F79F1">
        <w:rPr>
          <w:rFonts w:ascii="Arial" w:hAnsi="Arial" w:cs="Arial"/>
          <w:lang w:val="en-GB"/>
        </w:rPr>
        <w:t>to</w:t>
      </w:r>
      <w:r w:rsidRPr="008F79F1">
        <w:rPr>
          <w:rFonts w:ascii="Arial" w:hAnsi="Arial" w:cs="Arial"/>
          <w:spacing w:val="-17"/>
          <w:lang w:val="en-GB"/>
        </w:rPr>
        <w:t xml:space="preserve"> </w:t>
      </w:r>
      <w:r w:rsidR="00F91233" w:rsidRPr="008F79F1">
        <w:rPr>
          <w:rFonts w:ascii="Arial" w:hAnsi="Arial" w:cs="Arial"/>
          <w:lang w:val="en-GB"/>
        </w:rPr>
        <w:t>fulfil</w:t>
      </w:r>
      <w:r w:rsidRPr="008F79F1">
        <w:rPr>
          <w:rFonts w:ascii="Arial" w:hAnsi="Arial" w:cs="Arial"/>
          <w:spacing w:val="-16"/>
          <w:lang w:val="en-GB"/>
        </w:rPr>
        <w:t xml:space="preserve"> </w:t>
      </w:r>
      <w:r w:rsidRPr="008F79F1">
        <w:rPr>
          <w:rFonts w:ascii="Arial" w:hAnsi="Arial" w:cs="Arial"/>
          <w:lang w:val="en-GB"/>
        </w:rPr>
        <w:t>the</w:t>
      </w:r>
      <w:r w:rsidRPr="008F79F1">
        <w:rPr>
          <w:rFonts w:ascii="Arial" w:hAnsi="Arial" w:cs="Arial"/>
          <w:spacing w:val="-17"/>
          <w:lang w:val="en-GB"/>
        </w:rPr>
        <w:t xml:space="preserve"> </w:t>
      </w:r>
      <w:r w:rsidRPr="008F79F1">
        <w:rPr>
          <w:rFonts w:ascii="Arial" w:hAnsi="Arial" w:cs="Arial"/>
          <w:lang w:val="en-GB"/>
        </w:rPr>
        <w:t>enabling</w:t>
      </w:r>
      <w:r w:rsidRPr="008F79F1">
        <w:rPr>
          <w:rFonts w:ascii="Arial" w:hAnsi="Arial" w:cs="Arial"/>
          <w:spacing w:val="-17"/>
          <w:lang w:val="en-GB"/>
        </w:rPr>
        <w:t xml:space="preserve"> </w:t>
      </w:r>
      <w:r w:rsidRPr="008F79F1">
        <w:rPr>
          <w:rFonts w:ascii="Arial" w:hAnsi="Arial" w:cs="Arial"/>
          <w:lang w:val="en-GB"/>
        </w:rPr>
        <w:t>condition</w:t>
      </w:r>
      <w:r w:rsidRPr="008F79F1">
        <w:rPr>
          <w:rFonts w:ascii="Arial" w:hAnsi="Arial" w:cs="Arial"/>
          <w:spacing w:val="-14"/>
          <w:lang w:val="en-GB"/>
        </w:rPr>
        <w:t xml:space="preserve"> </w:t>
      </w:r>
      <w:r w:rsidRPr="008F79F1">
        <w:rPr>
          <w:rFonts w:ascii="Arial" w:hAnsi="Arial" w:cs="Arial"/>
          <w:lang w:val="en-GB"/>
        </w:rPr>
        <w:t>-</w:t>
      </w:r>
      <w:r w:rsidRPr="008F79F1">
        <w:rPr>
          <w:rFonts w:ascii="Arial" w:hAnsi="Arial" w:cs="Arial"/>
          <w:spacing w:val="-16"/>
          <w:lang w:val="en-GB"/>
        </w:rPr>
        <w:t xml:space="preserve"> </w:t>
      </w:r>
      <w:r w:rsidRPr="008F79F1">
        <w:rPr>
          <w:rFonts w:ascii="Arial" w:hAnsi="Arial" w:cs="Arial"/>
          <w:lang w:val="en-GB"/>
        </w:rPr>
        <w:t>regardless</w:t>
      </w:r>
      <w:r w:rsidRPr="008F79F1">
        <w:rPr>
          <w:rFonts w:ascii="Arial" w:hAnsi="Arial" w:cs="Arial"/>
          <w:spacing w:val="-16"/>
          <w:lang w:val="en-GB"/>
        </w:rPr>
        <w:t xml:space="preserve"> </w:t>
      </w:r>
      <w:r w:rsidRPr="008F79F1">
        <w:rPr>
          <w:rFonts w:ascii="Arial" w:hAnsi="Arial" w:cs="Arial"/>
          <w:lang w:val="en-GB"/>
        </w:rPr>
        <w:t>of</w:t>
      </w:r>
      <w:r w:rsidRPr="008F79F1">
        <w:rPr>
          <w:rFonts w:ascii="Arial" w:hAnsi="Arial" w:cs="Arial"/>
          <w:spacing w:val="-17"/>
          <w:lang w:val="en-GB"/>
        </w:rPr>
        <w:t xml:space="preserve"> </w:t>
      </w:r>
      <w:r w:rsidRPr="008F79F1">
        <w:rPr>
          <w:rFonts w:ascii="Arial" w:hAnsi="Arial" w:cs="Arial"/>
          <w:lang w:val="en-GB"/>
        </w:rPr>
        <w:t>the</w:t>
      </w:r>
      <w:r w:rsidRPr="008F79F1">
        <w:rPr>
          <w:rFonts w:ascii="Arial" w:hAnsi="Arial" w:cs="Arial"/>
          <w:spacing w:val="-16"/>
          <w:lang w:val="en-GB"/>
        </w:rPr>
        <w:t xml:space="preserve"> </w:t>
      </w:r>
      <w:r w:rsidRPr="008F79F1">
        <w:rPr>
          <w:rFonts w:ascii="Arial" w:hAnsi="Arial" w:cs="Arial"/>
          <w:lang w:val="en-GB"/>
        </w:rPr>
        <w:t>quality of</w:t>
      </w:r>
      <w:r w:rsidRPr="008F79F1">
        <w:rPr>
          <w:rFonts w:ascii="Arial" w:hAnsi="Arial" w:cs="Arial"/>
          <w:spacing w:val="-5"/>
          <w:lang w:val="en-GB"/>
        </w:rPr>
        <w:t xml:space="preserve"> </w:t>
      </w:r>
      <w:r w:rsidRPr="008F79F1">
        <w:rPr>
          <w:rFonts w:ascii="Arial" w:hAnsi="Arial" w:cs="Arial"/>
          <w:lang w:val="en-GB"/>
        </w:rPr>
        <w:t>the</w:t>
      </w:r>
      <w:r w:rsidRPr="008F79F1">
        <w:rPr>
          <w:rFonts w:ascii="Arial" w:hAnsi="Arial" w:cs="Arial"/>
          <w:spacing w:val="-5"/>
          <w:lang w:val="en-GB"/>
        </w:rPr>
        <w:t xml:space="preserve"> </w:t>
      </w:r>
      <w:r w:rsidRPr="008F79F1">
        <w:rPr>
          <w:rFonts w:ascii="Arial" w:hAnsi="Arial" w:cs="Arial"/>
          <w:lang w:val="en-GB"/>
        </w:rPr>
        <w:t>strategy,</w:t>
      </w:r>
      <w:r w:rsidRPr="008F79F1">
        <w:rPr>
          <w:rFonts w:ascii="Arial" w:hAnsi="Arial" w:cs="Arial"/>
          <w:spacing w:val="-5"/>
          <w:lang w:val="en-GB"/>
        </w:rPr>
        <w:t xml:space="preserve"> </w:t>
      </w:r>
      <w:r w:rsidRPr="008F79F1">
        <w:rPr>
          <w:rFonts w:ascii="Arial" w:hAnsi="Arial" w:cs="Arial"/>
          <w:lang w:val="en-GB"/>
        </w:rPr>
        <w:t>the</w:t>
      </w:r>
      <w:r w:rsidRPr="008F79F1">
        <w:rPr>
          <w:rFonts w:ascii="Arial" w:hAnsi="Arial" w:cs="Arial"/>
          <w:spacing w:val="-7"/>
          <w:lang w:val="en-GB"/>
        </w:rPr>
        <w:t xml:space="preserve"> </w:t>
      </w:r>
      <w:r w:rsidRPr="008F79F1">
        <w:rPr>
          <w:rFonts w:ascii="Arial" w:hAnsi="Arial" w:cs="Arial"/>
          <w:lang w:val="en-GB"/>
        </w:rPr>
        <w:t>level</w:t>
      </w:r>
      <w:r w:rsidRPr="008F79F1">
        <w:rPr>
          <w:rFonts w:ascii="Arial" w:hAnsi="Arial" w:cs="Arial"/>
          <w:spacing w:val="-6"/>
          <w:lang w:val="en-GB"/>
        </w:rPr>
        <w:t xml:space="preserve"> </w:t>
      </w:r>
      <w:r w:rsidRPr="008F79F1">
        <w:rPr>
          <w:rFonts w:ascii="Arial" w:hAnsi="Arial" w:cs="Arial"/>
          <w:lang w:val="en-GB"/>
        </w:rPr>
        <w:t>of</w:t>
      </w:r>
      <w:r w:rsidRPr="008F79F1">
        <w:rPr>
          <w:rFonts w:ascii="Arial" w:hAnsi="Arial" w:cs="Arial"/>
          <w:spacing w:val="-7"/>
          <w:lang w:val="en-GB"/>
        </w:rPr>
        <w:t xml:space="preserve"> </w:t>
      </w:r>
      <w:r w:rsidRPr="008F79F1">
        <w:rPr>
          <w:rFonts w:ascii="Arial" w:hAnsi="Arial" w:cs="Arial"/>
          <w:lang w:val="en-GB"/>
        </w:rPr>
        <w:t>compliance</w:t>
      </w:r>
      <w:r w:rsidRPr="008F79F1">
        <w:rPr>
          <w:rFonts w:ascii="Arial" w:hAnsi="Arial" w:cs="Arial"/>
          <w:spacing w:val="-5"/>
          <w:lang w:val="en-GB"/>
        </w:rPr>
        <w:t xml:space="preserve"> </w:t>
      </w:r>
      <w:r w:rsidRPr="008F79F1">
        <w:rPr>
          <w:rFonts w:ascii="Arial" w:hAnsi="Arial" w:cs="Arial"/>
          <w:lang w:val="en-GB"/>
        </w:rPr>
        <w:t>with</w:t>
      </w:r>
      <w:r w:rsidRPr="008F79F1">
        <w:rPr>
          <w:rFonts w:ascii="Arial" w:hAnsi="Arial" w:cs="Arial"/>
          <w:spacing w:val="-6"/>
          <w:lang w:val="en-GB"/>
        </w:rPr>
        <w:t xml:space="preserve"> </w:t>
      </w:r>
      <w:r w:rsidRPr="008F79F1">
        <w:rPr>
          <w:rFonts w:ascii="Arial" w:hAnsi="Arial" w:cs="Arial"/>
          <w:lang w:val="en-GB"/>
        </w:rPr>
        <w:t>the</w:t>
      </w:r>
      <w:r w:rsidRPr="008F79F1">
        <w:rPr>
          <w:rFonts w:ascii="Arial" w:hAnsi="Arial" w:cs="Arial"/>
          <w:spacing w:val="-5"/>
          <w:lang w:val="en-GB"/>
        </w:rPr>
        <w:t xml:space="preserve"> </w:t>
      </w:r>
      <w:r w:rsidRPr="008F79F1">
        <w:rPr>
          <w:rFonts w:ascii="Arial" w:hAnsi="Arial" w:cs="Arial"/>
          <w:lang w:val="en-GB"/>
        </w:rPr>
        <w:t>UNCRPD,</w:t>
      </w:r>
      <w:r w:rsidRPr="008F79F1">
        <w:rPr>
          <w:rFonts w:ascii="Arial" w:hAnsi="Arial" w:cs="Arial"/>
          <w:spacing w:val="-5"/>
          <w:lang w:val="en-GB"/>
        </w:rPr>
        <w:t xml:space="preserve"> </w:t>
      </w:r>
      <w:r w:rsidRPr="008F79F1">
        <w:rPr>
          <w:rFonts w:ascii="Arial" w:hAnsi="Arial" w:cs="Arial"/>
          <w:lang w:val="en-GB"/>
        </w:rPr>
        <w:t>or</w:t>
      </w:r>
      <w:r w:rsidRPr="008F79F1">
        <w:rPr>
          <w:rFonts w:ascii="Arial" w:hAnsi="Arial" w:cs="Arial"/>
          <w:spacing w:val="-6"/>
          <w:lang w:val="en-GB"/>
        </w:rPr>
        <w:t xml:space="preserve"> </w:t>
      </w:r>
      <w:r w:rsidRPr="008F79F1">
        <w:rPr>
          <w:rFonts w:ascii="Arial" w:hAnsi="Arial" w:cs="Arial"/>
          <w:lang w:val="en-GB"/>
        </w:rPr>
        <w:t>whether</w:t>
      </w:r>
      <w:r w:rsidRPr="008F79F1">
        <w:rPr>
          <w:rFonts w:ascii="Arial" w:hAnsi="Arial" w:cs="Arial"/>
          <w:spacing w:val="-6"/>
          <w:lang w:val="en-GB"/>
        </w:rPr>
        <w:t xml:space="preserve"> </w:t>
      </w:r>
      <w:r w:rsidRPr="008F79F1">
        <w:rPr>
          <w:rFonts w:ascii="Arial" w:hAnsi="Arial" w:cs="Arial"/>
          <w:lang w:val="en-GB"/>
        </w:rPr>
        <w:t>and</w:t>
      </w:r>
      <w:r w:rsidRPr="008F79F1">
        <w:rPr>
          <w:rFonts w:ascii="Arial" w:hAnsi="Arial" w:cs="Arial"/>
          <w:spacing w:val="-5"/>
          <w:lang w:val="en-GB"/>
        </w:rPr>
        <w:t xml:space="preserve"> </w:t>
      </w:r>
      <w:r w:rsidRPr="008F79F1">
        <w:rPr>
          <w:rFonts w:ascii="Arial" w:hAnsi="Arial" w:cs="Arial"/>
          <w:lang w:val="en-GB"/>
        </w:rPr>
        <w:t>how</w:t>
      </w:r>
      <w:r w:rsidRPr="008F79F1">
        <w:rPr>
          <w:rFonts w:ascii="Arial" w:hAnsi="Arial" w:cs="Arial"/>
          <w:spacing w:val="-6"/>
          <w:lang w:val="en-GB"/>
        </w:rPr>
        <w:t xml:space="preserve"> </w:t>
      </w:r>
      <w:r w:rsidRPr="008F79F1">
        <w:rPr>
          <w:rFonts w:ascii="Arial" w:hAnsi="Arial" w:cs="Arial"/>
          <w:lang w:val="en-GB"/>
        </w:rPr>
        <w:t>it</w:t>
      </w:r>
      <w:r w:rsidRPr="008F79F1">
        <w:rPr>
          <w:rFonts w:ascii="Arial" w:hAnsi="Arial" w:cs="Arial"/>
          <w:spacing w:val="-5"/>
          <w:lang w:val="en-GB"/>
        </w:rPr>
        <w:t xml:space="preserve"> </w:t>
      </w:r>
      <w:r w:rsidRPr="008F79F1">
        <w:rPr>
          <w:rFonts w:ascii="Arial" w:hAnsi="Arial" w:cs="Arial"/>
          <w:lang w:val="en-GB"/>
        </w:rPr>
        <w:t>is</w:t>
      </w:r>
      <w:r w:rsidRPr="008F79F1">
        <w:rPr>
          <w:rFonts w:ascii="Arial" w:hAnsi="Arial" w:cs="Arial"/>
          <w:spacing w:val="-8"/>
          <w:lang w:val="en-GB"/>
        </w:rPr>
        <w:t xml:space="preserve"> </w:t>
      </w:r>
      <w:r w:rsidRPr="008F79F1">
        <w:rPr>
          <w:rFonts w:ascii="Arial" w:hAnsi="Arial" w:cs="Arial"/>
          <w:lang w:val="en-GB"/>
        </w:rPr>
        <w:t xml:space="preserve">being implemented. We have not seen any evidence of how any potential cases of non-compliance with the UNCRPD are being reviewed or what the role of organisations of </w:t>
      </w:r>
      <w:r w:rsidR="00A10A65">
        <w:rPr>
          <w:rFonts w:ascii="Arial" w:hAnsi="Arial" w:cs="Arial"/>
          <w:lang w:val="en-GB"/>
        </w:rPr>
        <w:t>persons with disabilities</w:t>
      </w:r>
      <w:r w:rsidRPr="008F79F1">
        <w:rPr>
          <w:rFonts w:ascii="Arial" w:hAnsi="Arial" w:cs="Arial"/>
          <w:lang w:val="en-GB"/>
        </w:rPr>
        <w:t xml:space="preserve"> or independent human rights bodies is in this process.</w:t>
      </w:r>
    </w:p>
    <w:p w14:paraId="188603BB" w14:textId="46ECC939" w:rsidR="000A7D9E" w:rsidRPr="008F79F1" w:rsidRDefault="000A7D9E" w:rsidP="000A7D9E">
      <w:pPr>
        <w:spacing w:before="125" w:line="276" w:lineRule="auto"/>
        <w:jc w:val="both"/>
        <w:rPr>
          <w:rFonts w:ascii="Arial" w:hAnsi="Arial" w:cs="Arial"/>
          <w:sz w:val="24"/>
          <w:szCs w:val="24"/>
          <w:lang w:val="en-GB"/>
        </w:rPr>
      </w:pPr>
      <w:r w:rsidRPr="008F79F1">
        <w:rPr>
          <w:rFonts w:ascii="Arial" w:hAnsi="Arial" w:cs="Arial"/>
          <w:sz w:val="24"/>
          <w:szCs w:val="24"/>
          <w:lang w:val="en-GB"/>
        </w:rPr>
        <w:t>With regard to the horizontal enabling condition relating to the Charter, the Commission</w:t>
      </w:r>
      <w:r w:rsidRPr="008F79F1">
        <w:rPr>
          <w:rFonts w:ascii="Arial" w:hAnsi="Arial" w:cs="Arial"/>
          <w:spacing w:val="-3"/>
          <w:sz w:val="24"/>
          <w:szCs w:val="24"/>
          <w:lang w:val="en-GB"/>
        </w:rPr>
        <w:t xml:space="preserve"> </w:t>
      </w:r>
      <w:r w:rsidRPr="008F79F1">
        <w:rPr>
          <w:rFonts w:ascii="Arial" w:hAnsi="Arial" w:cs="Arial"/>
          <w:sz w:val="24"/>
          <w:szCs w:val="24"/>
          <w:lang w:val="en-GB"/>
        </w:rPr>
        <w:t>has</w:t>
      </w:r>
      <w:r w:rsidRPr="008F79F1">
        <w:rPr>
          <w:rFonts w:ascii="Arial" w:hAnsi="Arial" w:cs="Arial"/>
          <w:spacing w:val="-3"/>
          <w:sz w:val="24"/>
          <w:szCs w:val="24"/>
          <w:lang w:val="en-GB"/>
        </w:rPr>
        <w:t xml:space="preserve"> </w:t>
      </w:r>
      <w:r w:rsidRPr="008F79F1">
        <w:rPr>
          <w:rFonts w:ascii="Arial" w:hAnsi="Arial" w:cs="Arial"/>
          <w:sz w:val="24"/>
          <w:szCs w:val="24"/>
          <w:lang w:val="en-GB"/>
        </w:rPr>
        <w:t>questioned</w:t>
      </w:r>
      <w:r w:rsidRPr="008F79F1">
        <w:rPr>
          <w:rFonts w:ascii="Arial" w:hAnsi="Arial" w:cs="Arial"/>
          <w:spacing w:val="-2"/>
          <w:sz w:val="24"/>
          <w:szCs w:val="24"/>
          <w:lang w:val="en-GB"/>
        </w:rPr>
        <w:t xml:space="preserve"> </w:t>
      </w:r>
      <w:r w:rsidRPr="008F79F1">
        <w:rPr>
          <w:rFonts w:ascii="Arial" w:hAnsi="Arial" w:cs="Arial"/>
          <w:sz w:val="24"/>
          <w:szCs w:val="24"/>
          <w:lang w:val="en-GB"/>
        </w:rPr>
        <w:t>its applicability when it comes to</w:t>
      </w:r>
      <w:r w:rsidRPr="008F79F1">
        <w:rPr>
          <w:rFonts w:ascii="Arial" w:hAnsi="Arial" w:cs="Arial"/>
          <w:spacing w:val="-1"/>
          <w:sz w:val="24"/>
          <w:szCs w:val="24"/>
          <w:lang w:val="en-GB"/>
        </w:rPr>
        <w:t xml:space="preserve"> </w:t>
      </w:r>
      <w:r w:rsidRPr="008F79F1">
        <w:rPr>
          <w:rFonts w:ascii="Arial" w:hAnsi="Arial" w:cs="Arial"/>
          <w:sz w:val="24"/>
          <w:szCs w:val="24"/>
          <w:lang w:val="en-GB"/>
        </w:rPr>
        <w:t xml:space="preserve">investments into institutions for persons with disabilities. In response to one of ENIL’s complaints, the Commission </w:t>
      </w:r>
      <w:r w:rsidRPr="008F79F1">
        <w:rPr>
          <w:rFonts w:ascii="Arial" w:hAnsi="Arial" w:cs="Arial"/>
          <w:sz w:val="24"/>
          <w:szCs w:val="24"/>
          <w:lang w:val="en-GB"/>
        </w:rPr>
        <w:lastRenderedPageBreak/>
        <w:t xml:space="preserve">stated that: </w:t>
      </w:r>
      <w:r w:rsidRPr="008F79F1">
        <w:rPr>
          <w:rFonts w:ascii="Arial" w:hAnsi="Arial" w:cs="Arial"/>
          <w:i/>
          <w:sz w:val="24"/>
          <w:szCs w:val="24"/>
          <w:lang w:val="en-GB"/>
        </w:rPr>
        <w:t>“the mere fact that a given infrastructure has been financed by the Union does not mean that the Member State implements Union law”</w:t>
      </w:r>
      <w:r w:rsidRPr="008F79F1">
        <w:rPr>
          <w:rFonts w:ascii="Arial" w:hAnsi="Arial" w:cs="Arial"/>
          <w:sz w:val="24"/>
          <w:szCs w:val="24"/>
          <w:lang w:val="en-GB"/>
        </w:rPr>
        <w:t>.</w:t>
      </w:r>
      <w:r w:rsidRPr="008F79F1">
        <w:rPr>
          <w:rStyle w:val="Appelnotedebasdep"/>
          <w:rFonts w:ascii="Arial" w:hAnsi="Arial" w:cs="Arial"/>
          <w:sz w:val="24"/>
          <w:szCs w:val="24"/>
          <w:lang w:val="en-GB"/>
        </w:rPr>
        <w:footnoteReference w:id="19"/>
      </w:r>
    </w:p>
    <w:p w14:paraId="46AD4C12" w14:textId="77777777" w:rsidR="001F6D9B" w:rsidRPr="008F79F1" w:rsidRDefault="001F6D9B" w:rsidP="001F6D9B">
      <w:pPr>
        <w:spacing w:line="276" w:lineRule="auto"/>
        <w:jc w:val="both"/>
        <w:rPr>
          <w:rFonts w:ascii="Arial" w:hAnsi="Arial" w:cs="Arial"/>
          <w:sz w:val="24"/>
          <w:szCs w:val="24"/>
          <w:lang w:val="en-GB"/>
        </w:rPr>
      </w:pPr>
      <w:r w:rsidRPr="008F79F1">
        <w:rPr>
          <w:rFonts w:ascii="Arial" w:hAnsi="Arial" w:cs="Arial"/>
          <w:b/>
          <w:bCs/>
          <w:sz w:val="24"/>
          <w:szCs w:val="24"/>
          <w:lang w:val="en-GB"/>
        </w:rPr>
        <w:t>Recommendations for the next MFF:</w:t>
      </w:r>
      <w:r w:rsidRPr="008F79F1">
        <w:rPr>
          <w:rFonts w:ascii="Arial" w:hAnsi="Arial" w:cs="Arial"/>
          <w:sz w:val="24"/>
          <w:szCs w:val="24"/>
          <w:lang w:val="en-GB"/>
        </w:rPr>
        <w:t xml:space="preserve"> </w:t>
      </w:r>
    </w:p>
    <w:p w14:paraId="38ED3612" w14:textId="1DEF1A29" w:rsidR="001F6D9B" w:rsidRPr="008F79F1" w:rsidRDefault="001F6D9B" w:rsidP="001F6D9B">
      <w:pPr>
        <w:pStyle w:val="Paragraphedeliste"/>
        <w:numPr>
          <w:ilvl w:val="0"/>
          <w:numId w:val="25"/>
        </w:numPr>
        <w:spacing w:after="240" w:line="276" w:lineRule="auto"/>
        <w:jc w:val="both"/>
        <w:rPr>
          <w:rFonts w:ascii="Arial" w:hAnsi="Arial" w:cs="Arial"/>
          <w:sz w:val="24"/>
          <w:szCs w:val="24"/>
          <w:lang w:val="en-GB"/>
        </w:rPr>
      </w:pPr>
      <w:r w:rsidRPr="008F79F1">
        <w:rPr>
          <w:rFonts w:ascii="Arial" w:hAnsi="Arial" w:cs="Arial"/>
          <w:b/>
          <w:bCs/>
          <w:sz w:val="24"/>
          <w:szCs w:val="24"/>
          <w:lang w:val="en-GB"/>
        </w:rPr>
        <w:t>Retain the</w:t>
      </w:r>
      <w:r w:rsidR="00C727CD" w:rsidRPr="008F79F1">
        <w:rPr>
          <w:rFonts w:ascii="Arial" w:hAnsi="Arial" w:cs="Arial"/>
          <w:b/>
          <w:bCs/>
          <w:sz w:val="24"/>
          <w:szCs w:val="24"/>
          <w:lang w:val="en-GB"/>
        </w:rPr>
        <w:t xml:space="preserve"> horizontal and thematic enabling conditions in the next programming period</w:t>
      </w:r>
      <w:r w:rsidR="00C727CD" w:rsidRPr="008F79F1">
        <w:rPr>
          <w:rFonts w:ascii="Arial" w:hAnsi="Arial" w:cs="Arial"/>
          <w:sz w:val="24"/>
          <w:szCs w:val="24"/>
          <w:lang w:val="en-GB"/>
        </w:rPr>
        <w:t xml:space="preserve">, </w:t>
      </w:r>
      <w:r w:rsidRPr="008F79F1">
        <w:rPr>
          <w:rFonts w:ascii="Arial" w:hAnsi="Arial" w:cs="Arial"/>
          <w:sz w:val="24"/>
          <w:szCs w:val="24"/>
          <w:lang w:val="en-GB"/>
        </w:rPr>
        <w:t xml:space="preserve">to ensure fundamental rights compliance of EU funds. As in the past programming period, enabling conditions must be linked to UNCRPD, the Fundamental Rights Charter, and should include the </w:t>
      </w:r>
      <w:r w:rsidR="00F91233" w:rsidRPr="008F79F1">
        <w:rPr>
          <w:rFonts w:ascii="Arial" w:hAnsi="Arial" w:cs="Arial"/>
          <w:sz w:val="24"/>
          <w:szCs w:val="24"/>
          <w:lang w:val="en-GB"/>
        </w:rPr>
        <w:t>objective</w:t>
      </w:r>
      <w:r w:rsidRPr="008F79F1">
        <w:rPr>
          <w:rFonts w:ascii="Arial" w:hAnsi="Arial" w:cs="Arial"/>
          <w:sz w:val="24"/>
          <w:szCs w:val="24"/>
          <w:lang w:val="en-GB"/>
        </w:rPr>
        <w:t xml:space="preserve"> of deinstitutionalisation</w:t>
      </w:r>
      <w:r w:rsidR="00A10A65">
        <w:rPr>
          <w:rFonts w:ascii="Arial" w:hAnsi="Arial" w:cs="Arial"/>
          <w:sz w:val="24"/>
          <w:szCs w:val="24"/>
          <w:lang w:val="en-GB"/>
        </w:rPr>
        <w:t xml:space="preserve"> as defined in the Committee’s Guidelines on deinstitutionalisation, including in emergencies</w:t>
      </w:r>
      <w:r w:rsidRPr="008F79F1">
        <w:rPr>
          <w:rFonts w:ascii="Arial" w:hAnsi="Arial" w:cs="Arial"/>
          <w:sz w:val="24"/>
          <w:szCs w:val="24"/>
          <w:lang w:val="en-GB"/>
        </w:rPr>
        <w:t>.</w:t>
      </w:r>
    </w:p>
    <w:p w14:paraId="45479B46" w14:textId="1929EB26" w:rsidR="000A7D9E" w:rsidRPr="008F79F1" w:rsidRDefault="001F6D9B" w:rsidP="000A7D9E">
      <w:pPr>
        <w:pStyle w:val="Paragraphedeliste"/>
        <w:numPr>
          <w:ilvl w:val="0"/>
          <w:numId w:val="25"/>
        </w:numPr>
        <w:spacing w:after="240" w:line="276" w:lineRule="auto"/>
        <w:jc w:val="both"/>
        <w:rPr>
          <w:rFonts w:ascii="Arial" w:hAnsi="Arial" w:cs="Arial"/>
          <w:sz w:val="24"/>
          <w:szCs w:val="24"/>
          <w:lang w:val="en-GB"/>
        </w:rPr>
      </w:pPr>
      <w:r w:rsidRPr="008F79F1">
        <w:rPr>
          <w:rFonts w:ascii="Arial" w:hAnsi="Arial" w:cs="Arial"/>
          <w:b/>
          <w:bCs/>
          <w:sz w:val="24"/>
          <w:szCs w:val="24"/>
          <w:lang w:val="en-GB"/>
        </w:rPr>
        <w:t xml:space="preserve">Improve the application of enabling conditions, by </w:t>
      </w:r>
      <w:r w:rsidR="00F91233" w:rsidRPr="008F79F1">
        <w:rPr>
          <w:rFonts w:ascii="Arial" w:hAnsi="Arial" w:cs="Arial"/>
          <w:b/>
          <w:bCs/>
          <w:sz w:val="24"/>
          <w:szCs w:val="24"/>
          <w:lang w:val="en-GB"/>
        </w:rPr>
        <w:t>giving priority to</w:t>
      </w:r>
      <w:r w:rsidRPr="008F79F1">
        <w:rPr>
          <w:rFonts w:ascii="Arial" w:hAnsi="Arial" w:cs="Arial"/>
          <w:b/>
          <w:bCs/>
          <w:sz w:val="24"/>
          <w:szCs w:val="24"/>
          <w:lang w:val="en-GB"/>
        </w:rPr>
        <w:t xml:space="preserve"> independent sources when assessing Member States’ compliance.</w:t>
      </w:r>
      <w:r w:rsidRPr="008F79F1">
        <w:rPr>
          <w:rFonts w:ascii="Arial" w:hAnsi="Arial" w:cs="Arial"/>
          <w:sz w:val="24"/>
          <w:szCs w:val="24"/>
          <w:lang w:val="en-GB"/>
        </w:rPr>
        <w:t xml:space="preserve"> These include c</w:t>
      </w:r>
      <w:r w:rsidR="00C727CD" w:rsidRPr="008F79F1">
        <w:rPr>
          <w:rFonts w:ascii="Arial" w:hAnsi="Arial" w:cs="Arial"/>
          <w:sz w:val="24"/>
          <w:szCs w:val="24"/>
          <w:lang w:val="en-GB"/>
        </w:rPr>
        <w:t>ivil society</w:t>
      </w:r>
      <w:r w:rsidRPr="008F79F1">
        <w:rPr>
          <w:rFonts w:ascii="Arial" w:hAnsi="Arial" w:cs="Arial"/>
          <w:sz w:val="24"/>
          <w:szCs w:val="24"/>
          <w:lang w:val="en-GB"/>
        </w:rPr>
        <w:t xml:space="preserve"> organisations</w:t>
      </w:r>
      <w:r w:rsidR="00C727CD" w:rsidRPr="008F79F1">
        <w:rPr>
          <w:rFonts w:ascii="Arial" w:hAnsi="Arial" w:cs="Arial"/>
          <w:sz w:val="24"/>
          <w:szCs w:val="24"/>
          <w:lang w:val="en-GB"/>
        </w:rPr>
        <w:t xml:space="preserve"> and national human rights institutions</w:t>
      </w:r>
      <w:r w:rsidR="00A10A65">
        <w:rPr>
          <w:rFonts w:ascii="Arial" w:hAnsi="Arial" w:cs="Arial"/>
          <w:sz w:val="24"/>
          <w:szCs w:val="24"/>
          <w:lang w:val="en-GB"/>
        </w:rPr>
        <w:t xml:space="preserve"> (NHRIs)</w:t>
      </w:r>
      <w:r w:rsidRPr="008F79F1">
        <w:rPr>
          <w:rFonts w:ascii="Arial" w:hAnsi="Arial" w:cs="Arial"/>
          <w:sz w:val="24"/>
          <w:szCs w:val="24"/>
          <w:lang w:val="en-GB"/>
        </w:rPr>
        <w:t xml:space="preserve">, which </w:t>
      </w:r>
      <w:r w:rsidR="00C727CD" w:rsidRPr="008F79F1">
        <w:rPr>
          <w:rFonts w:ascii="Arial" w:hAnsi="Arial" w:cs="Arial"/>
          <w:sz w:val="24"/>
          <w:szCs w:val="24"/>
          <w:lang w:val="en-GB"/>
        </w:rPr>
        <w:t xml:space="preserve"> must be involved in the </w:t>
      </w:r>
      <w:r w:rsidRPr="008F79F1">
        <w:rPr>
          <w:rFonts w:ascii="Arial" w:hAnsi="Arial" w:cs="Arial"/>
          <w:sz w:val="24"/>
          <w:szCs w:val="24"/>
          <w:lang w:val="en-GB"/>
        </w:rPr>
        <w:t>assessment alongside the Managing Authorities</w:t>
      </w:r>
      <w:r w:rsidR="00C727CD" w:rsidRPr="008F79F1">
        <w:rPr>
          <w:rFonts w:ascii="Arial" w:hAnsi="Arial" w:cs="Arial"/>
          <w:sz w:val="24"/>
          <w:szCs w:val="24"/>
          <w:lang w:val="en-GB"/>
        </w:rPr>
        <w:t>;</w:t>
      </w:r>
      <w:r w:rsidRPr="008F79F1">
        <w:rPr>
          <w:rFonts w:ascii="Arial" w:hAnsi="Arial" w:cs="Arial"/>
          <w:sz w:val="24"/>
          <w:szCs w:val="24"/>
          <w:lang w:val="en-GB"/>
        </w:rPr>
        <w:t xml:space="preserve"> to ensure they have adequate capacity for this task,</w:t>
      </w:r>
      <w:r w:rsidR="00C727CD" w:rsidRPr="008F79F1">
        <w:rPr>
          <w:rFonts w:ascii="Arial" w:hAnsi="Arial" w:cs="Arial"/>
          <w:sz w:val="24"/>
          <w:szCs w:val="24"/>
          <w:lang w:val="en-GB"/>
        </w:rPr>
        <w:t xml:space="preserve"> their involvement must be financed through technical assistance</w:t>
      </w:r>
      <w:r w:rsidR="00A10A65">
        <w:rPr>
          <w:rFonts w:ascii="Arial" w:hAnsi="Arial" w:cs="Arial"/>
          <w:sz w:val="24"/>
          <w:szCs w:val="24"/>
          <w:lang w:val="en-GB"/>
        </w:rPr>
        <w:t xml:space="preserve"> or other public funding</w:t>
      </w:r>
      <w:r w:rsidR="00C727CD" w:rsidRPr="008F79F1">
        <w:rPr>
          <w:rFonts w:ascii="Arial" w:hAnsi="Arial" w:cs="Arial"/>
          <w:sz w:val="24"/>
          <w:szCs w:val="24"/>
          <w:lang w:val="en-GB"/>
        </w:rPr>
        <w:t xml:space="preserve">. </w:t>
      </w:r>
    </w:p>
    <w:p w14:paraId="1B4F6F96" w14:textId="299C32BA" w:rsidR="001F6D9B" w:rsidRPr="008F79F1" w:rsidRDefault="001F6D9B" w:rsidP="001F6D9B">
      <w:pPr>
        <w:pStyle w:val="Paragraphedeliste"/>
        <w:numPr>
          <w:ilvl w:val="0"/>
          <w:numId w:val="25"/>
        </w:numPr>
        <w:spacing w:after="240" w:line="276" w:lineRule="auto"/>
        <w:jc w:val="both"/>
        <w:rPr>
          <w:rFonts w:ascii="Arial" w:hAnsi="Arial" w:cs="Arial"/>
          <w:sz w:val="24"/>
          <w:szCs w:val="24"/>
          <w:lang w:val="en-GB"/>
        </w:rPr>
      </w:pPr>
      <w:r w:rsidRPr="008F79F1">
        <w:rPr>
          <w:rFonts w:ascii="Arial" w:hAnsi="Arial" w:cs="Arial"/>
          <w:b/>
          <w:bCs/>
          <w:sz w:val="24"/>
          <w:szCs w:val="24"/>
          <w:lang w:val="en-GB"/>
        </w:rPr>
        <w:t>With civil society organisations and national human rights institutions, develop new guidelines for assessing enabling conditions</w:t>
      </w:r>
      <w:r w:rsidR="00F91233" w:rsidRPr="008F79F1">
        <w:rPr>
          <w:rFonts w:ascii="Arial" w:hAnsi="Arial" w:cs="Arial"/>
          <w:b/>
          <w:bCs/>
          <w:sz w:val="24"/>
          <w:szCs w:val="24"/>
          <w:lang w:val="en-GB"/>
        </w:rPr>
        <w:t>.</w:t>
      </w:r>
      <w:r w:rsidRPr="008F79F1">
        <w:rPr>
          <w:rFonts w:ascii="Arial" w:hAnsi="Arial" w:cs="Arial"/>
          <w:sz w:val="24"/>
          <w:szCs w:val="24"/>
          <w:lang w:val="en-GB"/>
        </w:rPr>
        <w:t xml:space="preserve"> </w:t>
      </w:r>
      <w:r w:rsidR="00F91233" w:rsidRPr="008F79F1">
        <w:rPr>
          <w:rFonts w:ascii="Arial" w:hAnsi="Arial" w:cs="Arial"/>
          <w:sz w:val="24"/>
          <w:szCs w:val="24"/>
          <w:lang w:val="en-GB"/>
        </w:rPr>
        <w:t>E</w:t>
      </w:r>
      <w:r w:rsidRPr="008F79F1">
        <w:rPr>
          <w:rFonts w:ascii="Arial" w:hAnsi="Arial" w:cs="Arial"/>
          <w:sz w:val="24"/>
          <w:szCs w:val="24"/>
          <w:lang w:val="en-GB"/>
        </w:rPr>
        <w:t xml:space="preserve">nsure </w:t>
      </w:r>
      <w:r w:rsidR="00F91233" w:rsidRPr="008F79F1">
        <w:rPr>
          <w:rFonts w:ascii="Arial" w:hAnsi="Arial" w:cs="Arial"/>
          <w:sz w:val="24"/>
          <w:szCs w:val="24"/>
          <w:lang w:val="en-GB"/>
        </w:rPr>
        <w:t>that the guidelines</w:t>
      </w:r>
      <w:r w:rsidRPr="008F79F1">
        <w:rPr>
          <w:rFonts w:ascii="Arial" w:hAnsi="Arial" w:cs="Arial"/>
          <w:sz w:val="24"/>
          <w:szCs w:val="24"/>
          <w:lang w:val="en-GB"/>
        </w:rPr>
        <w:t xml:space="preserve"> are publicly available, together with </w:t>
      </w:r>
      <w:r w:rsidR="00F91233" w:rsidRPr="008F79F1">
        <w:rPr>
          <w:rFonts w:ascii="Arial" w:hAnsi="Arial" w:cs="Arial"/>
          <w:sz w:val="24"/>
          <w:szCs w:val="24"/>
          <w:lang w:val="en-GB"/>
        </w:rPr>
        <w:t>the results of the assessment (s</w:t>
      </w:r>
      <w:r w:rsidRPr="008F79F1">
        <w:rPr>
          <w:rFonts w:ascii="Arial" w:hAnsi="Arial" w:cs="Arial"/>
          <w:sz w:val="24"/>
          <w:szCs w:val="24"/>
          <w:lang w:val="en-GB"/>
        </w:rPr>
        <w:t>how</w:t>
      </w:r>
      <w:r w:rsidR="00F91233" w:rsidRPr="008F79F1">
        <w:rPr>
          <w:rFonts w:ascii="Arial" w:hAnsi="Arial" w:cs="Arial"/>
          <w:sz w:val="24"/>
          <w:szCs w:val="24"/>
          <w:lang w:val="en-GB"/>
        </w:rPr>
        <w:t>ing how</w:t>
      </w:r>
      <w:r w:rsidRPr="008F79F1">
        <w:rPr>
          <w:rFonts w:ascii="Arial" w:hAnsi="Arial" w:cs="Arial"/>
          <w:sz w:val="24"/>
          <w:szCs w:val="24"/>
          <w:lang w:val="en-GB"/>
        </w:rPr>
        <w:t xml:space="preserve"> the Member State demonstrated fulfilment of the enabling conditions.</w:t>
      </w:r>
      <w:r w:rsidR="00F91233" w:rsidRPr="008F79F1">
        <w:rPr>
          <w:rFonts w:ascii="Arial" w:hAnsi="Arial" w:cs="Arial"/>
          <w:sz w:val="24"/>
          <w:szCs w:val="24"/>
          <w:lang w:val="en-GB"/>
        </w:rPr>
        <w:t>)</w:t>
      </w:r>
    </w:p>
    <w:p w14:paraId="216B30EE" w14:textId="0627C0A0" w:rsidR="000A7D9E" w:rsidRPr="008F79F1" w:rsidRDefault="000A7D9E" w:rsidP="000A7D9E">
      <w:pPr>
        <w:pStyle w:val="Paragraphedeliste"/>
        <w:numPr>
          <w:ilvl w:val="0"/>
          <w:numId w:val="25"/>
        </w:numPr>
        <w:spacing w:after="240" w:line="276" w:lineRule="auto"/>
        <w:jc w:val="both"/>
        <w:rPr>
          <w:rFonts w:ascii="Arial" w:hAnsi="Arial" w:cs="Arial"/>
          <w:sz w:val="24"/>
          <w:szCs w:val="24"/>
          <w:lang w:val="en-GB"/>
        </w:rPr>
      </w:pPr>
      <w:r w:rsidRPr="008F79F1">
        <w:rPr>
          <w:rFonts w:ascii="Arial" w:hAnsi="Arial" w:cs="Arial"/>
          <w:b/>
          <w:bCs/>
          <w:sz w:val="24"/>
          <w:szCs w:val="24"/>
          <w:lang w:val="en-GB"/>
        </w:rPr>
        <w:t xml:space="preserve">Ensure that any infrastructure or other investments funded or co-funded by the EU </w:t>
      </w:r>
      <w:r w:rsidRPr="008F79F1">
        <w:rPr>
          <w:rFonts w:ascii="Arial" w:hAnsi="Arial" w:cs="Arial"/>
          <w:sz w:val="24"/>
          <w:szCs w:val="24"/>
          <w:lang w:val="en-GB"/>
        </w:rPr>
        <w:t>require compliance with EU law, specifically the UNCRPD and the EU Fundamental Rights Charter.</w:t>
      </w:r>
    </w:p>
    <w:p w14:paraId="3F3FCBB9" w14:textId="44253671" w:rsidR="00C727CD" w:rsidRPr="008F79F1" w:rsidRDefault="00964777" w:rsidP="00694DFA">
      <w:pPr>
        <w:pStyle w:val="Titre2"/>
        <w:spacing w:line="276" w:lineRule="auto"/>
        <w:jc w:val="both"/>
        <w:rPr>
          <w:lang w:val="en-GB"/>
        </w:rPr>
      </w:pPr>
      <w:bookmarkStart w:id="5" w:name="_Toc196926855"/>
      <w:r w:rsidRPr="008F79F1">
        <w:rPr>
          <w:lang w:val="en-GB"/>
        </w:rPr>
        <w:t>Ensure that</w:t>
      </w:r>
      <w:r w:rsidR="00C727CD" w:rsidRPr="008F79F1">
        <w:rPr>
          <w:lang w:val="en-GB"/>
        </w:rPr>
        <w:t xml:space="preserve"> monitoring</w:t>
      </w:r>
      <w:bookmarkEnd w:id="5"/>
      <w:r w:rsidR="00551E40" w:rsidRPr="008F79F1">
        <w:rPr>
          <w:lang w:val="en-GB"/>
        </w:rPr>
        <w:t xml:space="preserve"> of EU funds</w:t>
      </w:r>
      <w:r w:rsidRPr="008F79F1">
        <w:rPr>
          <w:lang w:val="en-GB"/>
        </w:rPr>
        <w:t xml:space="preserve"> involves civil society and national human rights institutions</w:t>
      </w:r>
    </w:p>
    <w:p w14:paraId="4798A69E" w14:textId="205EF0D3" w:rsidR="00D41C6B" w:rsidRPr="008F79F1" w:rsidRDefault="00597623"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Monitoring and evaluation of projects funded by the EU </w:t>
      </w:r>
      <w:r w:rsidR="00D046A0" w:rsidRPr="008F79F1">
        <w:rPr>
          <w:rFonts w:ascii="Arial" w:hAnsi="Arial" w:cs="Arial"/>
          <w:sz w:val="24"/>
          <w:szCs w:val="24"/>
          <w:lang w:val="en-GB"/>
        </w:rPr>
        <w:t>are</w:t>
      </w:r>
      <w:r w:rsidRPr="008F79F1">
        <w:rPr>
          <w:rFonts w:ascii="Arial" w:hAnsi="Arial" w:cs="Arial"/>
          <w:sz w:val="24"/>
          <w:szCs w:val="24"/>
          <w:lang w:val="en-GB"/>
        </w:rPr>
        <w:t xml:space="preserve"> crucial to ensure compliance with the applicable laws, including the UNCRPD and the Fundamental Rights Charter. </w:t>
      </w:r>
      <w:r w:rsidR="00C727CD" w:rsidRPr="008F79F1">
        <w:rPr>
          <w:rFonts w:ascii="Arial" w:hAnsi="Arial" w:cs="Arial"/>
          <w:sz w:val="24"/>
          <w:szCs w:val="24"/>
          <w:lang w:val="en-GB"/>
        </w:rPr>
        <w:t xml:space="preserve">Monitoring Committees </w:t>
      </w:r>
      <w:r w:rsidR="00D046A0" w:rsidRPr="008F79F1">
        <w:rPr>
          <w:rFonts w:ascii="Arial" w:hAnsi="Arial" w:cs="Arial"/>
          <w:sz w:val="24"/>
          <w:szCs w:val="24"/>
          <w:lang w:val="en-GB"/>
        </w:rPr>
        <w:t>play a key role in this process</w:t>
      </w:r>
      <w:r w:rsidR="00C727CD" w:rsidRPr="008F79F1">
        <w:rPr>
          <w:rFonts w:ascii="Arial" w:hAnsi="Arial" w:cs="Arial"/>
          <w:sz w:val="24"/>
          <w:szCs w:val="24"/>
          <w:lang w:val="en-GB"/>
        </w:rPr>
        <w:t xml:space="preserve">, but </w:t>
      </w:r>
      <w:r w:rsidR="00D046A0" w:rsidRPr="008F79F1">
        <w:rPr>
          <w:rFonts w:ascii="Arial" w:hAnsi="Arial" w:cs="Arial"/>
          <w:sz w:val="24"/>
          <w:szCs w:val="24"/>
          <w:lang w:val="en-GB"/>
        </w:rPr>
        <w:t xml:space="preserve">their membership structure and </w:t>
      </w:r>
      <w:r w:rsidR="00D41C6B" w:rsidRPr="008F79F1">
        <w:rPr>
          <w:rFonts w:ascii="Arial" w:hAnsi="Arial" w:cs="Arial"/>
          <w:sz w:val="24"/>
          <w:szCs w:val="24"/>
          <w:lang w:val="en-GB"/>
        </w:rPr>
        <w:t xml:space="preserve">working methods </w:t>
      </w:r>
      <w:r w:rsidR="00A10A65">
        <w:rPr>
          <w:rFonts w:ascii="Arial" w:hAnsi="Arial" w:cs="Arial"/>
          <w:sz w:val="24"/>
          <w:szCs w:val="24"/>
          <w:lang w:val="en-GB"/>
        </w:rPr>
        <w:t>do</w:t>
      </w:r>
      <w:r w:rsidR="00D41C6B" w:rsidRPr="008F79F1">
        <w:rPr>
          <w:rFonts w:ascii="Arial" w:hAnsi="Arial" w:cs="Arial"/>
          <w:sz w:val="24"/>
          <w:szCs w:val="24"/>
          <w:lang w:val="en-GB"/>
        </w:rPr>
        <w:t xml:space="preserve"> not allow them to identify and stop investments involving fundamental rights violations.</w:t>
      </w:r>
    </w:p>
    <w:p w14:paraId="0D77592C" w14:textId="617440D1" w:rsidR="00C727CD" w:rsidRPr="008F79F1" w:rsidRDefault="00D41C6B" w:rsidP="00694DFA">
      <w:pPr>
        <w:spacing w:line="276" w:lineRule="auto"/>
        <w:jc w:val="both"/>
        <w:rPr>
          <w:rFonts w:ascii="Arial" w:hAnsi="Arial" w:cs="Arial"/>
          <w:sz w:val="24"/>
          <w:szCs w:val="24"/>
          <w:lang w:val="en-GB"/>
        </w:rPr>
      </w:pPr>
      <w:r w:rsidRPr="008F79F1">
        <w:rPr>
          <w:rFonts w:ascii="Arial" w:hAnsi="Arial" w:cs="Arial"/>
          <w:sz w:val="24"/>
          <w:szCs w:val="24"/>
          <w:lang w:val="en-GB"/>
        </w:rPr>
        <w:t>Involvement of persons with disabilities and their representative organisations in the Monitoring Committees is unsatisfactory. ENIL</w:t>
      </w:r>
      <w:r w:rsidR="00C727CD" w:rsidRPr="008F79F1">
        <w:rPr>
          <w:rFonts w:ascii="Arial" w:hAnsi="Arial" w:cs="Arial"/>
          <w:sz w:val="24"/>
          <w:szCs w:val="24"/>
          <w:lang w:val="en-GB"/>
        </w:rPr>
        <w:t xml:space="preserve"> members</w:t>
      </w:r>
      <w:r w:rsidRPr="008F79F1">
        <w:rPr>
          <w:rFonts w:ascii="Arial" w:hAnsi="Arial" w:cs="Arial"/>
          <w:sz w:val="24"/>
          <w:szCs w:val="24"/>
          <w:lang w:val="en-GB"/>
        </w:rPr>
        <w:t xml:space="preserve"> have reported that</w:t>
      </w:r>
      <w:r w:rsidR="00C727CD" w:rsidRPr="008F79F1">
        <w:rPr>
          <w:rFonts w:ascii="Arial" w:hAnsi="Arial" w:cs="Arial"/>
          <w:sz w:val="24"/>
          <w:szCs w:val="24"/>
          <w:lang w:val="en-GB"/>
        </w:rPr>
        <w:t xml:space="preserve"> very few have the capacity to be involved in the </w:t>
      </w:r>
      <w:r w:rsidR="006924AD" w:rsidRPr="008F79F1">
        <w:rPr>
          <w:rFonts w:ascii="Arial" w:hAnsi="Arial" w:cs="Arial"/>
          <w:sz w:val="24"/>
          <w:szCs w:val="24"/>
          <w:lang w:val="en-GB"/>
        </w:rPr>
        <w:t>Committees</w:t>
      </w:r>
      <w:r w:rsidR="00595768" w:rsidRPr="008F79F1">
        <w:rPr>
          <w:rFonts w:ascii="Arial" w:hAnsi="Arial" w:cs="Arial"/>
          <w:sz w:val="24"/>
          <w:szCs w:val="24"/>
          <w:lang w:val="en-GB"/>
        </w:rPr>
        <w:t>,</w:t>
      </w:r>
      <w:r w:rsidR="00C727CD" w:rsidRPr="008F79F1">
        <w:rPr>
          <w:rFonts w:ascii="Arial" w:hAnsi="Arial" w:cs="Arial"/>
          <w:sz w:val="24"/>
          <w:szCs w:val="24"/>
          <w:lang w:val="en-GB"/>
        </w:rPr>
        <w:t xml:space="preserve"> or </w:t>
      </w:r>
      <w:r w:rsidR="00595768" w:rsidRPr="008F79F1">
        <w:rPr>
          <w:rFonts w:ascii="Arial" w:hAnsi="Arial" w:cs="Arial"/>
          <w:sz w:val="24"/>
          <w:szCs w:val="24"/>
          <w:lang w:val="en-GB"/>
        </w:rPr>
        <w:t xml:space="preserve">when they have capacity, </w:t>
      </w:r>
      <w:r w:rsidR="00A12B2D" w:rsidRPr="008F79F1">
        <w:rPr>
          <w:rFonts w:ascii="Arial" w:hAnsi="Arial" w:cs="Arial"/>
          <w:sz w:val="24"/>
          <w:szCs w:val="24"/>
          <w:lang w:val="en-GB"/>
        </w:rPr>
        <w:t>are not invited to join</w:t>
      </w:r>
      <w:r w:rsidR="00595768" w:rsidRPr="008F79F1">
        <w:rPr>
          <w:rFonts w:ascii="Arial" w:hAnsi="Arial" w:cs="Arial"/>
          <w:sz w:val="24"/>
          <w:szCs w:val="24"/>
          <w:lang w:val="en-GB"/>
        </w:rPr>
        <w:t xml:space="preserve">. </w:t>
      </w:r>
      <w:r w:rsidR="00C727CD" w:rsidRPr="008F79F1">
        <w:rPr>
          <w:rFonts w:ascii="Arial" w:hAnsi="Arial" w:cs="Arial"/>
          <w:sz w:val="24"/>
          <w:szCs w:val="24"/>
          <w:lang w:val="en-GB"/>
        </w:rPr>
        <w:t xml:space="preserve">Even when </w:t>
      </w:r>
      <w:r w:rsidR="00595768" w:rsidRPr="008F79F1">
        <w:rPr>
          <w:rFonts w:ascii="Arial" w:hAnsi="Arial" w:cs="Arial"/>
          <w:sz w:val="24"/>
          <w:szCs w:val="24"/>
          <w:lang w:val="en-GB"/>
        </w:rPr>
        <w:t>organisations of persons with disabilities</w:t>
      </w:r>
      <w:r w:rsidR="00C727CD" w:rsidRPr="008F79F1">
        <w:rPr>
          <w:rFonts w:ascii="Arial" w:hAnsi="Arial" w:cs="Arial"/>
          <w:sz w:val="24"/>
          <w:szCs w:val="24"/>
          <w:lang w:val="en-GB"/>
        </w:rPr>
        <w:t xml:space="preserve"> are </w:t>
      </w:r>
      <w:r w:rsidR="00595768" w:rsidRPr="008F79F1">
        <w:rPr>
          <w:rFonts w:ascii="Arial" w:hAnsi="Arial" w:cs="Arial"/>
          <w:sz w:val="24"/>
          <w:szCs w:val="24"/>
          <w:lang w:val="en-GB"/>
        </w:rPr>
        <w:t>part of the Monitoring Committees</w:t>
      </w:r>
      <w:r w:rsidR="00C727CD" w:rsidRPr="008F79F1">
        <w:rPr>
          <w:rFonts w:ascii="Arial" w:hAnsi="Arial" w:cs="Arial"/>
          <w:sz w:val="24"/>
          <w:szCs w:val="24"/>
          <w:lang w:val="en-GB"/>
        </w:rPr>
        <w:t xml:space="preserve">, they find that they receive insufficient information regarding the investments, and </w:t>
      </w:r>
      <w:r w:rsidR="00A12B2D" w:rsidRPr="008F79F1">
        <w:rPr>
          <w:rFonts w:ascii="Arial" w:hAnsi="Arial" w:cs="Arial"/>
          <w:sz w:val="24"/>
          <w:szCs w:val="24"/>
          <w:lang w:val="en-GB"/>
        </w:rPr>
        <w:t>their expertise is not taken sufficiently into account</w:t>
      </w:r>
      <w:r w:rsidR="00C727CD" w:rsidRPr="008F79F1">
        <w:rPr>
          <w:rFonts w:ascii="Arial" w:hAnsi="Arial" w:cs="Arial"/>
          <w:sz w:val="24"/>
          <w:szCs w:val="24"/>
          <w:lang w:val="en-GB"/>
        </w:rPr>
        <w:t>.</w:t>
      </w:r>
    </w:p>
    <w:p w14:paraId="36A492C0" w14:textId="277119B2" w:rsidR="00C727CD" w:rsidRPr="008F79F1" w:rsidRDefault="00C727CD" w:rsidP="00694DFA">
      <w:pPr>
        <w:pStyle w:val="Corpsdetexte"/>
        <w:spacing w:before="121" w:line="276" w:lineRule="auto"/>
        <w:ind w:right="354"/>
        <w:jc w:val="both"/>
        <w:rPr>
          <w:rFonts w:ascii="Arial" w:hAnsi="Arial" w:cs="Arial"/>
          <w:lang w:val="en-GB"/>
        </w:rPr>
      </w:pPr>
      <w:r w:rsidRPr="008F79F1">
        <w:rPr>
          <w:rFonts w:ascii="Arial" w:hAnsi="Arial" w:cs="Arial"/>
          <w:lang w:val="en-GB"/>
        </w:rPr>
        <w:t xml:space="preserve">The European Commission </w:t>
      </w:r>
      <w:r w:rsidR="00A12B2D" w:rsidRPr="008F79F1">
        <w:rPr>
          <w:rFonts w:ascii="Arial" w:hAnsi="Arial" w:cs="Arial"/>
          <w:lang w:val="en-GB"/>
        </w:rPr>
        <w:t>has additional</w:t>
      </w:r>
      <w:r w:rsidRPr="008F79F1">
        <w:rPr>
          <w:rFonts w:ascii="Arial" w:hAnsi="Arial" w:cs="Arial"/>
          <w:lang w:val="en-GB"/>
        </w:rPr>
        <w:t xml:space="preserve"> tools at hand in cases of misuse of EU </w:t>
      </w:r>
      <w:r w:rsidRPr="008F79F1">
        <w:rPr>
          <w:rFonts w:ascii="Arial" w:hAnsi="Arial" w:cs="Arial"/>
          <w:lang w:val="en-GB"/>
        </w:rPr>
        <w:lastRenderedPageBreak/>
        <w:t>funds, such as the suspension of payments or the infringement procedure. To this</w:t>
      </w:r>
      <w:r w:rsidRPr="008F79F1">
        <w:rPr>
          <w:rFonts w:ascii="Arial" w:hAnsi="Arial" w:cs="Arial"/>
          <w:spacing w:val="-1"/>
          <w:lang w:val="en-GB"/>
        </w:rPr>
        <w:t xml:space="preserve"> </w:t>
      </w:r>
      <w:r w:rsidRPr="008F79F1">
        <w:rPr>
          <w:rFonts w:ascii="Arial" w:hAnsi="Arial" w:cs="Arial"/>
          <w:lang w:val="en-GB"/>
        </w:rPr>
        <w:t>date, the European Commission has</w:t>
      </w:r>
      <w:r w:rsidRPr="008F79F1">
        <w:rPr>
          <w:rFonts w:ascii="Arial" w:hAnsi="Arial" w:cs="Arial"/>
          <w:spacing w:val="-1"/>
          <w:lang w:val="en-GB"/>
        </w:rPr>
        <w:t xml:space="preserve"> </w:t>
      </w:r>
      <w:r w:rsidRPr="008F79F1">
        <w:rPr>
          <w:rFonts w:ascii="Arial" w:hAnsi="Arial" w:cs="Arial"/>
          <w:lang w:val="en-GB"/>
        </w:rPr>
        <w:t>not launched an infringement procedure</w:t>
      </w:r>
      <w:r w:rsidRPr="008F79F1">
        <w:rPr>
          <w:rFonts w:ascii="Arial" w:hAnsi="Arial" w:cs="Arial"/>
          <w:spacing w:val="-1"/>
          <w:lang w:val="en-GB"/>
        </w:rPr>
        <w:t xml:space="preserve"> </w:t>
      </w:r>
      <w:r w:rsidRPr="008F79F1">
        <w:rPr>
          <w:rFonts w:ascii="Arial" w:hAnsi="Arial" w:cs="Arial"/>
          <w:lang w:val="en-GB"/>
        </w:rPr>
        <w:t xml:space="preserve">on the basis of investments </w:t>
      </w:r>
      <w:r w:rsidR="00A12B2D" w:rsidRPr="008F79F1">
        <w:rPr>
          <w:rFonts w:ascii="Arial" w:hAnsi="Arial" w:cs="Arial"/>
          <w:lang w:val="en-GB"/>
        </w:rPr>
        <w:t>that violate the rights of persons with disabilities</w:t>
      </w:r>
      <w:r w:rsidRPr="008F79F1">
        <w:rPr>
          <w:rFonts w:ascii="Arial" w:hAnsi="Arial" w:cs="Arial"/>
          <w:lang w:val="en-GB"/>
        </w:rPr>
        <w:t xml:space="preserve"> (</w:t>
      </w:r>
      <w:r w:rsidR="00A12B2D" w:rsidRPr="008F79F1">
        <w:rPr>
          <w:rFonts w:ascii="Arial" w:hAnsi="Arial" w:cs="Arial"/>
          <w:lang w:val="en-GB"/>
        </w:rPr>
        <w:t>including investments in institutions and other segregated settings,</w:t>
      </w:r>
      <w:r w:rsidRPr="008F79F1">
        <w:rPr>
          <w:rFonts w:ascii="Arial" w:hAnsi="Arial" w:cs="Arial"/>
          <w:lang w:val="en-GB"/>
        </w:rPr>
        <w:t xml:space="preserve"> the lack of accessibility or </w:t>
      </w:r>
      <w:r w:rsidR="00A12B2D" w:rsidRPr="008F79F1">
        <w:rPr>
          <w:rFonts w:ascii="Arial" w:hAnsi="Arial" w:cs="Arial"/>
          <w:lang w:val="en-GB"/>
        </w:rPr>
        <w:t>the lack of involvement of persons with disabilities and their organisations</w:t>
      </w:r>
      <w:r w:rsidRPr="008F79F1">
        <w:rPr>
          <w:rFonts w:ascii="Arial" w:hAnsi="Arial" w:cs="Arial"/>
          <w:lang w:val="en-GB"/>
        </w:rPr>
        <w:t>), despite numerous complaints from ENIL in this regard. On the contrary, in response to</w:t>
      </w:r>
      <w:r w:rsidRPr="008F79F1">
        <w:rPr>
          <w:rFonts w:ascii="Arial" w:hAnsi="Arial" w:cs="Arial"/>
          <w:spacing w:val="-1"/>
          <w:lang w:val="en-GB"/>
        </w:rPr>
        <w:t xml:space="preserve"> </w:t>
      </w:r>
      <w:r w:rsidRPr="008F79F1">
        <w:rPr>
          <w:rFonts w:ascii="Arial" w:hAnsi="Arial" w:cs="Arial"/>
          <w:lang w:val="en-GB"/>
        </w:rPr>
        <w:t>our complaints, the Commission has argued that no action can be taken due to the shared management principle.</w:t>
      </w:r>
    </w:p>
    <w:p w14:paraId="629E9834" w14:textId="39FD7AB6" w:rsidR="00C727CD" w:rsidRPr="008F79F1" w:rsidRDefault="00C727CD" w:rsidP="00694DFA">
      <w:pPr>
        <w:pStyle w:val="Corpsdetexte"/>
        <w:spacing w:before="121" w:line="276" w:lineRule="auto"/>
        <w:ind w:right="352"/>
        <w:jc w:val="both"/>
        <w:rPr>
          <w:rFonts w:ascii="Arial" w:hAnsi="Arial" w:cs="Arial"/>
          <w:lang w:val="en-GB"/>
        </w:rPr>
      </w:pPr>
      <w:r w:rsidRPr="008F79F1">
        <w:rPr>
          <w:rFonts w:ascii="Arial" w:hAnsi="Arial" w:cs="Arial"/>
          <w:lang w:val="en-GB"/>
        </w:rPr>
        <w:t xml:space="preserve">In examining ENIL’s complaints, the Commission has given priority to the self- assessment of the Managing Authorities (on whether they violate the </w:t>
      </w:r>
      <w:r w:rsidR="00A12B2D" w:rsidRPr="008F79F1">
        <w:rPr>
          <w:rFonts w:ascii="Arial" w:hAnsi="Arial" w:cs="Arial"/>
          <w:lang w:val="en-GB"/>
        </w:rPr>
        <w:t xml:space="preserve">relevant laws, including the </w:t>
      </w:r>
      <w:r w:rsidRPr="008F79F1">
        <w:rPr>
          <w:rFonts w:ascii="Arial" w:hAnsi="Arial" w:cs="Arial"/>
          <w:lang w:val="en-GB"/>
        </w:rPr>
        <w:t>UNCRPD</w:t>
      </w:r>
      <w:r w:rsidR="00A12B2D" w:rsidRPr="008F79F1">
        <w:rPr>
          <w:rFonts w:ascii="Arial" w:hAnsi="Arial" w:cs="Arial"/>
          <w:lang w:val="en-GB"/>
        </w:rPr>
        <w:t xml:space="preserve"> and the Fundamental Rights Charter</w:t>
      </w:r>
      <w:r w:rsidRPr="008F79F1">
        <w:rPr>
          <w:rFonts w:ascii="Arial" w:hAnsi="Arial" w:cs="Arial"/>
          <w:lang w:val="en-GB"/>
        </w:rPr>
        <w:t>) and has dismissed evidence by independent human rights institutions and organisations</w:t>
      </w:r>
      <w:r w:rsidR="00A12B2D" w:rsidRPr="008F79F1">
        <w:rPr>
          <w:rFonts w:ascii="Arial" w:hAnsi="Arial" w:cs="Arial"/>
          <w:lang w:val="en-GB"/>
        </w:rPr>
        <w:t xml:space="preserve"> of persons with disabilities</w:t>
      </w:r>
      <w:r w:rsidRPr="008F79F1">
        <w:rPr>
          <w:rFonts w:ascii="Arial" w:hAnsi="Arial" w:cs="Arial"/>
          <w:lang w:val="en-GB"/>
        </w:rPr>
        <w:t>.</w:t>
      </w:r>
    </w:p>
    <w:p w14:paraId="6D2B0FF2" w14:textId="65F00782" w:rsidR="000A7D9E" w:rsidRPr="008F79F1" w:rsidRDefault="00C727CD" w:rsidP="000A7D9E">
      <w:pPr>
        <w:pStyle w:val="Corpsdetexte"/>
        <w:spacing w:before="120" w:after="120" w:line="276" w:lineRule="auto"/>
        <w:ind w:right="352"/>
        <w:jc w:val="both"/>
        <w:rPr>
          <w:rFonts w:ascii="Arial" w:hAnsi="Arial" w:cs="Arial"/>
          <w:lang w:val="en-GB"/>
        </w:rPr>
      </w:pPr>
      <w:r w:rsidRPr="008F79F1">
        <w:rPr>
          <w:rFonts w:ascii="Arial" w:hAnsi="Arial" w:cs="Arial"/>
          <w:lang w:val="en-GB"/>
        </w:rPr>
        <w:t xml:space="preserve">The challenge of </w:t>
      </w:r>
      <w:r w:rsidR="00A12B2D" w:rsidRPr="008F79F1">
        <w:rPr>
          <w:rFonts w:ascii="Arial" w:hAnsi="Arial" w:cs="Arial"/>
          <w:lang w:val="en-GB"/>
        </w:rPr>
        <w:t>persons with disabilities</w:t>
      </w:r>
      <w:r w:rsidRPr="008F79F1">
        <w:rPr>
          <w:rFonts w:ascii="Arial" w:hAnsi="Arial" w:cs="Arial"/>
          <w:lang w:val="en-GB"/>
        </w:rPr>
        <w:t xml:space="preserve"> accessing justice is also demonstrated by th</w:t>
      </w:r>
      <w:r w:rsidR="00A10A65">
        <w:rPr>
          <w:rFonts w:ascii="Arial" w:hAnsi="Arial" w:cs="Arial"/>
          <w:lang w:val="en-GB"/>
        </w:rPr>
        <w:t>e case</w:t>
      </w:r>
      <w:r w:rsidR="00A10A65">
        <w:rPr>
          <w:rStyle w:val="Appelnotedebasdep"/>
          <w:rFonts w:ascii="Arial" w:hAnsi="Arial" w:cs="Arial"/>
          <w:lang w:val="en-GB"/>
        </w:rPr>
        <w:footnoteReference w:id="20"/>
      </w:r>
      <w:r w:rsidR="00A10A65">
        <w:rPr>
          <w:rFonts w:ascii="Arial" w:hAnsi="Arial" w:cs="Arial"/>
          <w:lang w:val="en-GB"/>
        </w:rPr>
        <w:t xml:space="preserve"> </w:t>
      </w:r>
      <w:r w:rsidRPr="008F79F1">
        <w:rPr>
          <w:rFonts w:ascii="Arial" w:hAnsi="Arial" w:cs="Arial"/>
          <w:lang w:val="en-GB"/>
        </w:rPr>
        <w:t>which ENIL, the Centre for Independent Living Sofia and the Validity Foundation took to the</w:t>
      </w:r>
      <w:r w:rsidRPr="008F79F1">
        <w:rPr>
          <w:rFonts w:ascii="Arial" w:hAnsi="Arial" w:cs="Arial"/>
          <w:spacing w:val="-11"/>
          <w:lang w:val="en-GB"/>
        </w:rPr>
        <w:t xml:space="preserve"> </w:t>
      </w:r>
      <w:r w:rsidR="00A10A65">
        <w:rPr>
          <w:rFonts w:ascii="Arial" w:hAnsi="Arial" w:cs="Arial"/>
          <w:lang w:val="en-GB"/>
        </w:rPr>
        <w:t>General Court in Luxembourg</w:t>
      </w:r>
      <w:r w:rsidRPr="008F79F1">
        <w:rPr>
          <w:rFonts w:ascii="Arial" w:hAnsi="Arial" w:cs="Arial"/>
          <w:spacing w:val="-11"/>
          <w:lang w:val="en-GB"/>
        </w:rPr>
        <w:t xml:space="preserve"> </w:t>
      </w:r>
      <w:r w:rsidRPr="008F79F1">
        <w:rPr>
          <w:rFonts w:ascii="Arial" w:hAnsi="Arial" w:cs="Arial"/>
          <w:lang w:val="en-GB"/>
        </w:rPr>
        <w:t>in</w:t>
      </w:r>
      <w:r w:rsidRPr="008F79F1">
        <w:rPr>
          <w:rFonts w:ascii="Arial" w:hAnsi="Arial" w:cs="Arial"/>
          <w:spacing w:val="-11"/>
          <w:lang w:val="en-GB"/>
        </w:rPr>
        <w:t xml:space="preserve"> </w:t>
      </w:r>
      <w:r w:rsidRPr="008F79F1">
        <w:rPr>
          <w:rFonts w:ascii="Arial" w:hAnsi="Arial" w:cs="Arial"/>
          <w:lang w:val="en-GB"/>
        </w:rPr>
        <w:t>2019,</w:t>
      </w:r>
      <w:r w:rsidRPr="008F79F1">
        <w:rPr>
          <w:rFonts w:ascii="Arial" w:hAnsi="Arial" w:cs="Arial"/>
          <w:spacing w:val="-11"/>
          <w:lang w:val="en-GB"/>
        </w:rPr>
        <w:t xml:space="preserve"> </w:t>
      </w:r>
      <w:r w:rsidRPr="008F79F1">
        <w:rPr>
          <w:rFonts w:ascii="Arial" w:hAnsi="Arial" w:cs="Arial"/>
          <w:lang w:val="en-GB"/>
        </w:rPr>
        <w:t>challenging</w:t>
      </w:r>
      <w:r w:rsidRPr="008F79F1">
        <w:rPr>
          <w:rFonts w:ascii="Arial" w:hAnsi="Arial" w:cs="Arial"/>
          <w:spacing w:val="-13"/>
          <w:lang w:val="en-GB"/>
        </w:rPr>
        <w:t xml:space="preserve"> </w:t>
      </w:r>
      <w:r w:rsidRPr="008F79F1">
        <w:rPr>
          <w:rFonts w:ascii="Arial" w:hAnsi="Arial" w:cs="Arial"/>
          <w:lang w:val="en-GB"/>
        </w:rPr>
        <w:t>the</w:t>
      </w:r>
      <w:r w:rsidRPr="008F79F1">
        <w:rPr>
          <w:rFonts w:ascii="Arial" w:hAnsi="Arial" w:cs="Arial"/>
          <w:spacing w:val="-13"/>
          <w:lang w:val="en-GB"/>
        </w:rPr>
        <w:t xml:space="preserve"> </w:t>
      </w:r>
      <w:r w:rsidRPr="008F79F1">
        <w:rPr>
          <w:rFonts w:ascii="Arial" w:hAnsi="Arial" w:cs="Arial"/>
          <w:lang w:val="en-GB"/>
        </w:rPr>
        <w:t>use</w:t>
      </w:r>
      <w:r w:rsidRPr="008F79F1">
        <w:rPr>
          <w:rFonts w:ascii="Arial" w:hAnsi="Arial" w:cs="Arial"/>
          <w:spacing w:val="-13"/>
          <w:lang w:val="en-GB"/>
        </w:rPr>
        <w:t xml:space="preserve"> </w:t>
      </w:r>
      <w:r w:rsidRPr="008F79F1">
        <w:rPr>
          <w:rFonts w:ascii="Arial" w:hAnsi="Arial" w:cs="Arial"/>
          <w:lang w:val="en-GB"/>
        </w:rPr>
        <w:t>of</w:t>
      </w:r>
      <w:r w:rsidRPr="008F79F1">
        <w:rPr>
          <w:rFonts w:ascii="Arial" w:hAnsi="Arial" w:cs="Arial"/>
          <w:spacing w:val="-11"/>
          <w:lang w:val="en-GB"/>
        </w:rPr>
        <w:t xml:space="preserve"> </w:t>
      </w:r>
      <w:r w:rsidRPr="008F79F1">
        <w:rPr>
          <w:rFonts w:ascii="Arial" w:hAnsi="Arial" w:cs="Arial"/>
          <w:lang w:val="en-GB"/>
        </w:rPr>
        <w:t>EU</w:t>
      </w:r>
      <w:r w:rsidRPr="008F79F1">
        <w:rPr>
          <w:rFonts w:ascii="Arial" w:hAnsi="Arial" w:cs="Arial"/>
          <w:spacing w:val="-12"/>
          <w:lang w:val="en-GB"/>
        </w:rPr>
        <w:t xml:space="preserve"> </w:t>
      </w:r>
      <w:r w:rsidRPr="008F79F1">
        <w:rPr>
          <w:rFonts w:ascii="Arial" w:hAnsi="Arial" w:cs="Arial"/>
          <w:lang w:val="en-GB"/>
        </w:rPr>
        <w:t>funds</w:t>
      </w:r>
      <w:r w:rsidRPr="008F79F1">
        <w:rPr>
          <w:rFonts w:ascii="Arial" w:hAnsi="Arial" w:cs="Arial"/>
          <w:spacing w:val="-12"/>
          <w:lang w:val="en-GB"/>
        </w:rPr>
        <w:t xml:space="preserve"> </w:t>
      </w:r>
      <w:r w:rsidRPr="008F79F1">
        <w:rPr>
          <w:rFonts w:ascii="Arial" w:hAnsi="Arial" w:cs="Arial"/>
          <w:lang w:val="en-GB"/>
        </w:rPr>
        <w:t>for</w:t>
      </w:r>
      <w:r w:rsidRPr="008F79F1">
        <w:rPr>
          <w:rFonts w:ascii="Arial" w:hAnsi="Arial" w:cs="Arial"/>
          <w:spacing w:val="-15"/>
          <w:lang w:val="en-GB"/>
        </w:rPr>
        <w:t xml:space="preserve"> </w:t>
      </w:r>
      <w:r w:rsidRPr="008F79F1">
        <w:rPr>
          <w:rFonts w:ascii="Arial" w:hAnsi="Arial" w:cs="Arial"/>
          <w:lang w:val="en-GB"/>
        </w:rPr>
        <w:t>building</w:t>
      </w:r>
      <w:r w:rsidRPr="008F79F1">
        <w:rPr>
          <w:rFonts w:ascii="Arial" w:hAnsi="Arial" w:cs="Arial"/>
          <w:spacing w:val="-13"/>
          <w:lang w:val="en-GB"/>
        </w:rPr>
        <w:t xml:space="preserve"> </w:t>
      </w:r>
      <w:r w:rsidR="00A12B2D" w:rsidRPr="008F79F1">
        <w:rPr>
          <w:rFonts w:ascii="Arial" w:hAnsi="Arial" w:cs="Arial"/>
          <w:lang w:val="en-GB"/>
        </w:rPr>
        <w:t>institutions</w:t>
      </w:r>
      <w:r w:rsidRPr="008F79F1">
        <w:rPr>
          <w:rFonts w:ascii="Arial" w:hAnsi="Arial" w:cs="Arial"/>
          <w:lang w:val="en-GB"/>
        </w:rPr>
        <w:t xml:space="preserve"> in Bulgaria. The Court found that ENIL and others</w:t>
      </w:r>
      <w:r w:rsidRPr="008F79F1">
        <w:rPr>
          <w:rFonts w:ascii="Arial" w:hAnsi="Arial" w:cs="Arial"/>
          <w:spacing w:val="-1"/>
          <w:lang w:val="en-GB"/>
        </w:rPr>
        <w:t xml:space="preserve"> </w:t>
      </w:r>
      <w:r w:rsidRPr="008F79F1">
        <w:rPr>
          <w:rFonts w:ascii="Arial" w:hAnsi="Arial" w:cs="Arial"/>
          <w:lang w:val="en-GB"/>
        </w:rPr>
        <w:t xml:space="preserve">had no standing, as the claimants should be the </w:t>
      </w:r>
      <w:r w:rsidR="00A12B2D" w:rsidRPr="008F79F1">
        <w:rPr>
          <w:rFonts w:ascii="Arial" w:hAnsi="Arial" w:cs="Arial"/>
          <w:lang w:val="en-GB"/>
        </w:rPr>
        <w:t xml:space="preserve">those </w:t>
      </w:r>
      <w:r w:rsidRPr="008F79F1">
        <w:rPr>
          <w:rFonts w:ascii="Arial" w:hAnsi="Arial" w:cs="Arial"/>
          <w:lang w:val="en-GB"/>
        </w:rPr>
        <w:t>directly affected. This is despite the</w:t>
      </w:r>
      <w:r w:rsidRPr="008F79F1">
        <w:rPr>
          <w:rFonts w:ascii="Arial" w:hAnsi="Arial" w:cs="Arial"/>
          <w:spacing w:val="-1"/>
          <w:lang w:val="en-GB"/>
        </w:rPr>
        <w:t xml:space="preserve"> </w:t>
      </w:r>
      <w:r w:rsidRPr="008F79F1">
        <w:rPr>
          <w:rFonts w:ascii="Arial" w:hAnsi="Arial" w:cs="Arial"/>
          <w:lang w:val="en-GB"/>
        </w:rPr>
        <w:t xml:space="preserve">fact that </w:t>
      </w:r>
      <w:r w:rsidR="00A12B2D" w:rsidRPr="008F79F1">
        <w:rPr>
          <w:rFonts w:ascii="Arial" w:hAnsi="Arial" w:cs="Arial"/>
          <w:lang w:val="en-GB"/>
        </w:rPr>
        <w:t>many</w:t>
      </w:r>
      <w:r w:rsidRPr="008F79F1">
        <w:rPr>
          <w:rFonts w:ascii="Arial" w:hAnsi="Arial" w:cs="Arial"/>
          <w:lang w:val="en-GB"/>
        </w:rPr>
        <w:t xml:space="preserve"> of the people</w:t>
      </w:r>
      <w:r w:rsidRPr="008F79F1">
        <w:rPr>
          <w:rFonts w:ascii="Arial" w:hAnsi="Arial" w:cs="Arial"/>
          <w:spacing w:val="-1"/>
          <w:lang w:val="en-GB"/>
        </w:rPr>
        <w:t xml:space="preserve"> </w:t>
      </w:r>
      <w:r w:rsidRPr="008F79F1">
        <w:rPr>
          <w:rFonts w:ascii="Arial" w:hAnsi="Arial" w:cs="Arial"/>
          <w:lang w:val="en-GB"/>
        </w:rPr>
        <w:t>directly affected have</w:t>
      </w:r>
      <w:r w:rsidRPr="008F79F1">
        <w:rPr>
          <w:rFonts w:ascii="Arial" w:hAnsi="Arial" w:cs="Arial"/>
          <w:spacing w:val="-1"/>
          <w:lang w:val="en-GB"/>
        </w:rPr>
        <w:t xml:space="preserve"> </w:t>
      </w:r>
      <w:r w:rsidRPr="008F79F1">
        <w:rPr>
          <w:rFonts w:ascii="Arial" w:hAnsi="Arial" w:cs="Arial"/>
          <w:lang w:val="en-GB"/>
        </w:rPr>
        <w:t>been</w:t>
      </w:r>
      <w:r w:rsidRPr="008F79F1">
        <w:rPr>
          <w:rFonts w:ascii="Arial" w:hAnsi="Arial" w:cs="Arial"/>
          <w:spacing w:val="-1"/>
          <w:lang w:val="en-GB"/>
        </w:rPr>
        <w:t xml:space="preserve"> </w:t>
      </w:r>
      <w:r w:rsidRPr="008F79F1">
        <w:rPr>
          <w:rFonts w:ascii="Arial" w:hAnsi="Arial" w:cs="Arial"/>
          <w:lang w:val="en-GB"/>
        </w:rPr>
        <w:t>deprived</w:t>
      </w:r>
      <w:r w:rsidRPr="008F79F1">
        <w:rPr>
          <w:rFonts w:ascii="Arial" w:hAnsi="Arial" w:cs="Arial"/>
          <w:spacing w:val="-3"/>
          <w:lang w:val="en-GB"/>
        </w:rPr>
        <w:t xml:space="preserve"> </w:t>
      </w:r>
      <w:r w:rsidRPr="008F79F1">
        <w:rPr>
          <w:rFonts w:ascii="Arial" w:hAnsi="Arial" w:cs="Arial"/>
          <w:lang w:val="en-GB"/>
        </w:rPr>
        <w:t>of legal capacity</w:t>
      </w:r>
      <w:r w:rsidRPr="008F79F1">
        <w:rPr>
          <w:rFonts w:ascii="Arial" w:hAnsi="Arial" w:cs="Arial"/>
          <w:spacing w:val="-2"/>
          <w:lang w:val="en-GB"/>
        </w:rPr>
        <w:t xml:space="preserve"> </w:t>
      </w:r>
      <w:r w:rsidRPr="008F79F1">
        <w:rPr>
          <w:rFonts w:ascii="Arial" w:hAnsi="Arial" w:cs="Arial"/>
          <w:lang w:val="en-GB"/>
        </w:rPr>
        <w:t>and</w:t>
      </w:r>
      <w:r w:rsidRPr="008F79F1">
        <w:rPr>
          <w:rFonts w:ascii="Arial" w:hAnsi="Arial" w:cs="Arial"/>
          <w:spacing w:val="-1"/>
          <w:lang w:val="en-GB"/>
        </w:rPr>
        <w:t xml:space="preserve"> </w:t>
      </w:r>
      <w:r w:rsidRPr="008F79F1">
        <w:rPr>
          <w:rFonts w:ascii="Arial" w:hAnsi="Arial" w:cs="Arial"/>
          <w:lang w:val="en-GB"/>
        </w:rPr>
        <w:t>therefore cannot</w:t>
      </w:r>
      <w:r w:rsidRPr="008F79F1">
        <w:rPr>
          <w:rFonts w:ascii="Arial" w:hAnsi="Arial" w:cs="Arial"/>
          <w:spacing w:val="-1"/>
          <w:lang w:val="en-GB"/>
        </w:rPr>
        <w:t xml:space="preserve"> </w:t>
      </w:r>
      <w:r w:rsidRPr="008F79F1">
        <w:rPr>
          <w:rFonts w:ascii="Arial" w:hAnsi="Arial" w:cs="Arial"/>
          <w:lang w:val="en-GB"/>
        </w:rPr>
        <w:t xml:space="preserve">bring a claim themselves to a court of </w:t>
      </w:r>
      <w:r w:rsidR="00A12B2D" w:rsidRPr="008F79F1">
        <w:rPr>
          <w:rFonts w:ascii="Arial" w:hAnsi="Arial" w:cs="Arial"/>
          <w:lang w:val="en-GB"/>
        </w:rPr>
        <w:t>law</w:t>
      </w:r>
      <w:r w:rsidRPr="008F79F1">
        <w:rPr>
          <w:rFonts w:ascii="Arial" w:hAnsi="Arial" w:cs="Arial"/>
          <w:lang w:val="en-GB"/>
        </w:rPr>
        <w:t xml:space="preserve">. </w:t>
      </w:r>
    </w:p>
    <w:p w14:paraId="67EF4BAB" w14:textId="6236D8E1" w:rsidR="000A7D9E" w:rsidRPr="008F79F1" w:rsidRDefault="000A7D9E" w:rsidP="000A7D9E">
      <w:pPr>
        <w:spacing w:line="276" w:lineRule="auto"/>
        <w:jc w:val="both"/>
        <w:rPr>
          <w:rFonts w:ascii="Arial" w:hAnsi="Arial" w:cs="Arial"/>
          <w:sz w:val="24"/>
          <w:szCs w:val="24"/>
          <w:lang w:val="en-GB"/>
        </w:rPr>
      </w:pPr>
      <w:r w:rsidRPr="008F79F1">
        <w:rPr>
          <w:rFonts w:ascii="Arial" w:hAnsi="Arial" w:cs="Arial"/>
          <w:b/>
          <w:bCs/>
          <w:sz w:val="24"/>
          <w:szCs w:val="24"/>
          <w:lang w:val="en-GB"/>
        </w:rPr>
        <w:t>Recommendations for the next MFF:</w:t>
      </w:r>
      <w:r w:rsidRPr="008F79F1">
        <w:rPr>
          <w:rFonts w:ascii="Arial" w:hAnsi="Arial" w:cs="Arial"/>
          <w:sz w:val="24"/>
          <w:szCs w:val="24"/>
          <w:lang w:val="en-GB"/>
        </w:rPr>
        <w:t xml:space="preserve"> </w:t>
      </w:r>
    </w:p>
    <w:p w14:paraId="3EC0FC9E" w14:textId="6ADD5A40" w:rsidR="00ED2843" w:rsidRPr="008F79F1" w:rsidRDefault="00C727CD" w:rsidP="000A7D9E">
      <w:pPr>
        <w:pStyle w:val="Paragraphedeliste"/>
        <w:numPr>
          <w:ilvl w:val="0"/>
          <w:numId w:val="26"/>
        </w:numPr>
        <w:spacing w:before="125" w:line="276" w:lineRule="auto"/>
        <w:ind w:right="358"/>
        <w:jc w:val="both"/>
        <w:rPr>
          <w:rFonts w:ascii="Arial" w:hAnsi="Arial" w:cs="Arial"/>
          <w:sz w:val="24"/>
          <w:szCs w:val="24"/>
          <w:lang w:val="en-GB"/>
        </w:rPr>
      </w:pPr>
      <w:r w:rsidRPr="008F79F1">
        <w:rPr>
          <w:rFonts w:ascii="Arial" w:hAnsi="Arial" w:cs="Arial"/>
          <w:b/>
          <w:bCs/>
          <w:sz w:val="24"/>
          <w:szCs w:val="24"/>
          <w:lang w:val="en-GB"/>
        </w:rPr>
        <w:t xml:space="preserve">Make effective use of all existing </w:t>
      </w:r>
      <w:r w:rsidR="00ED2843" w:rsidRPr="008F79F1">
        <w:rPr>
          <w:rFonts w:ascii="Arial" w:hAnsi="Arial" w:cs="Arial"/>
          <w:b/>
          <w:bCs/>
          <w:sz w:val="24"/>
          <w:szCs w:val="24"/>
          <w:lang w:val="en-GB"/>
        </w:rPr>
        <w:t>sanctions</w:t>
      </w:r>
      <w:r w:rsidRPr="008F79F1">
        <w:rPr>
          <w:rFonts w:ascii="Arial" w:hAnsi="Arial" w:cs="Arial"/>
          <w:sz w:val="24"/>
          <w:szCs w:val="24"/>
          <w:lang w:val="en-GB"/>
        </w:rPr>
        <w:t xml:space="preserve">, including the suspension of payments and the infringement procedure, in cases </w:t>
      </w:r>
      <w:r w:rsidR="00ED2843" w:rsidRPr="008F79F1">
        <w:rPr>
          <w:rFonts w:ascii="Arial" w:hAnsi="Arial" w:cs="Arial"/>
          <w:sz w:val="24"/>
          <w:szCs w:val="24"/>
          <w:lang w:val="en-GB"/>
        </w:rPr>
        <w:t>fundamental rights violations or concerns within projects funded by the</w:t>
      </w:r>
      <w:r w:rsidRPr="008F79F1">
        <w:rPr>
          <w:rFonts w:ascii="Arial" w:hAnsi="Arial" w:cs="Arial"/>
          <w:sz w:val="24"/>
          <w:szCs w:val="24"/>
          <w:lang w:val="en-GB"/>
        </w:rPr>
        <w:t xml:space="preserve"> EU. </w:t>
      </w:r>
    </w:p>
    <w:p w14:paraId="51C48EB3" w14:textId="77777777" w:rsidR="00A10A65" w:rsidRDefault="00C727CD" w:rsidP="00694DFA">
      <w:pPr>
        <w:pStyle w:val="Paragraphedeliste"/>
        <w:numPr>
          <w:ilvl w:val="0"/>
          <w:numId w:val="26"/>
        </w:numPr>
        <w:spacing w:before="125" w:line="276" w:lineRule="auto"/>
        <w:ind w:right="358"/>
        <w:jc w:val="both"/>
        <w:rPr>
          <w:rFonts w:ascii="Arial" w:hAnsi="Arial" w:cs="Arial"/>
          <w:sz w:val="24"/>
          <w:szCs w:val="24"/>
          <w:lang w:val="en-GB"/>
        </w:rPr>
      </w:pPr>
      <w:r w:rsidRPr="008F79F1">
        <w:rPr>
          <w:rFonts w:ascii="Arial" w:hAnsi="Arial" w:cs="Arial"/>
          <w:b/>
          <w:bCs/>
          <w:sz w:val="24"/>
          <w:szCs w:val="24"/>
          <w:lang w:val="en-GB"/>
        </w:rPr>
        <w:t>Strengthen the current complaint</w:t>
      </w:r>
      <w:r w:rsidR="00ED2843" w:rsidRPr="008F79F1">
        <w:rPr>
          <w:rFonts w:ascii="Arial" w:hAnsi="Arial" w:cs="Arial"/>
          <w:b/>
          <w:bCs/>
          <w:sz w:val="24"/>
          <w:szCs w:val="24"/>
          <w:lang w:val="en-GB"/>
        </w:rPr>
        <w:t>s</w:t>
      </w:r>
      <w:r w:rsidRPr="008F79F1">
        <w:rPr>
          <w:rFonts w:ascii="Arial" w:hAnsi="Arial" w:cs="Arial"/>
          <w:b/>
          <w:bCs/>
          <w:sz w:val="24"/>
          <w:szCs w:val="24"/>
          <w:lang w:val="en-GB"/>
        </w:rPr>
        <w:t xml:space="preserve"> system</w:t>
      </w:r>
      <w:r w:rsidR="00ED2843" w:rsidRPr="008F79F1">
        <w:rPr>
          <w:rFonts w:ascii="Arial" w:hAnsi="Arial" w:cs="Arial"/>
          <w:sz w:val="24"/>
          <w:szCs w:val="24"/>
          <w:lang w:val="en-GB"/>
        </w:rPr>
        <w:t>,</w:t>
      </w:r>
      <w:r w:rsidRPr="008F79F1">
        <w:rPr>
          <w:rFonts w:ascii="Arial" w:hAnsi="Arial" w:cs="Arial"/>
          <w:sz w:val="24"/>
          <w:szCs w:val="24"/>
          <w:lang w:val="en-GB"/>
        </w:rPr>
        <w:t xml:space="preserve"> so </w:t>
      </w:r>
      <w:r w:rsidR="00ED2843" w:rsidRPr="008F79F1">
        <w:rPr>
          <w:rFonts w:ascii="Arial" w:hAnsi="Arial" w:cs="Arial"/>
          <w:sz w:val="24"/>
          <w:szCs w:val="24"/>
          <w:lang w:val="en-GB"/>
        </w:rPr>
        <w:t xml:space="preserve">that an independent investigation is carried out, involving civil society organisations and national human rights institutions (NHRIs). Make sure that </w:t>
      </w:r>
      <w:r w:rsidRPr="008F79F1">
        <w:rPr>
          <w:rFonts w:ascii="Arial" w:hAnsi="Arial" w:cs="Arial"/>
          <w:sz w:val="24"/>
          <w:szCs w:val="24"/>
          <w:lang w:val="en-GB"/>
        </w:rPr>
        <w:t>an effective response is provided before the funds are effectively spent</w:t>
      </w:r>
      <w:r w:rsidR="00A10A65">
        <w:rPr>
          <w:rFonts w:ascii="Arial" w:hAnsi="Arial" w:cs="Arial"/>
          <w:sz w:val="24"/>
          <w:szCs w:val="24"/>
          <w:lang w:val="en-GB"/>
        </w:rPr>
        <w:t>.</w:t>
      </w:r>
    </w:p>
    <w:p w14:paraId="5C984B0B" w14:textId="0E488611" w:rsidR="00ED2843" w:rsidRPr="008F79F1" w:rsidRDefault="00A10A65" w:rsidP="00694DFA">
      <w:pPr>
        <w:pStyle w:val="Paragraphedeliste"/>
        <w:numPr>
          <w:ilvl w:val="0"/>
          <w:numId w:val="26"/>
        </w:numPr>
        <w:spacing w:before="125" w:line="276" w:lineRule="auto"/>
        <w:ind w:right="358"/>
        <w:jc w:val="both"/>
        <w:rPr>
          <w:rFonts w:ascii="Arial" w:hAnsi="Arial" w:cs="Arial"/>
          <w:sz w:val="24"/>
          <w:szCs w:val="24"/>
          <w:lang w:val="en-GB"/>
        </w:rPr>
      </w:pPr>
      <w:r w:rsidRPr="00A10A65">
        <w:rPr>
          <w:rFonts w:ascii="Arial" w:hAnsi="Arial" w:cs="Arial"/>
          <w:b/>
          <w:bCs/>
          <w:sz w:val="24"/>
          <w:szCs w:val="24"/>
          <w:lang w:val="en-GB"/>
        </w:rPr>
        <w:t>R</w:t>
      </w:r>
      <w:r w:rsidR="00C727CD" w:rsidRPr="00A10A65">
        <w:rPr>
          <w:rFonts w:ascii="Arial" w:hAnsi="Arial" w:cs="Arial"/>
          <w:b/>
          <w:bCs/>
          <w:sz w:val="24"/>
          <w:szCs w:val="24"/>
          <w:lang w:val="en-GB"/>
        </w:rPr>
        <w:t xml:space="preserve">aise awareness within the </w:t>
      </w:r>
      <w:r w:rsidR="00ED2843" w:rsidRPr="00A10A65">
        <w:rPr>
          <w:rFonts w:ascii="Arial" w:hAnsi="Arial" w:cs="Arial"/>
          <w:b/>
          <w:bCs/>
          <w:sz w:val="24"/>
          <w:szCs w:val="24"/>
          <w:lang w:val="en-GB"/>
        </w:rPr>
        <w:t xml:space="preserve">Managing Authorities and the </w:t>
      </w:r>
      <w:r w:rsidR="00C727CD" w:rsidRPr="00A10A65">
        <w:rPr>
          <w:rFonts w:ascii="Arial" w:hAnsi="Arial" w:cs="Arial"/>
          <w:b/>
          <w:bCs/>
          <w:sz w:val="24"/>
          <w:szCs w:val="24"/>
          <w:lang w:val="en-GB"/>
        </w:rPr>
        <w:t xml:space="preserve">Commission </w:t>
      </w:r>
      <w:r w:rsidR="00C727CD" w:rsidRPr="008F79F1">
        <w:rPr>
          <w:rFonts w:ascii="Arial" w:hAnsi="Arial" w:cs="Arial"/>
          <w:sz w:val="24"/>
          <w:szCs w:val="24"/>
          <w:lang w:val="en-GB"/>
        </w:rPr>
        <w:t xml:space="preserve">of the </w:t>
      </w:r>
      <w:r w:rsidR="00ED2843" w:rsidRPr="008F79F1">
        <w:rPr>
          <w:rFonts w:ascii="Arial" w:hAnsi="Arial" w:cs="Arial"/>
          <w:sz w:val="24"/>
          <w:szCs w:val="24"/>
          <w:lang w:val="en-GB"/>
        </w:rPr>
        <w:t xml:space="preserve">CRPD Committee’s </w:t>
      </w:r>
      <w:r w:rsidR="00C727CD" w:rsidRPr="008F79F1">
        <w:rPr>
          <w:rFonts w:ascii="Arial" w:hAnsi="Arial" w:cs="Arial"/>
          <w:sz w:val="24"/>
          <w:szCs w:val="24"/>
          <w:lang w:val="en-GB"/>
        </w:rPr>
        <w:t>Guidelines on deinstitutionalisation, including in emergencies</w:t>
      </w:r>
      <w:r w:rsidR="00ED2843" w:rsidRPr="008F79F1">
        <w:rPr>
          <w:rFonts w:ascii="Arial" w:hAnsi="Arial" w:cs="Arial"/>
          <w:sz w:val="24"/>
          <w:szCs w:val="24"/>
          <w:lang w:val="en-GB"/>
        </w:rPr>
        <w:t xml:space="preserve"> and the Commission’s Guidance on independent living</w:t>
      </w:r>
      <w:r>
        <w:rPr>
          <w:rFonts w:ascii="Arial" w:hAnsi="Arial" w:cs="Arial"/>
          <w:sz w:val="24"/>
          <w:szCs w:val="24"/>
          <w:lang w:val="en-GB"/>
        </w:rPr>
        <w:t>, specifically the Checklist in the Annex</w:t>
      </w:r>
      <w:r w:rsidR="00ED2843" w:rsidRPr="008F79F1">
        <w:rPr>
          <w:rFonts w:ascii="Arial" w:hAnsi="Arial" w:cs="Arial"/>
          <w:sz w:val="24"/>
          <w:szCs w:val="24"/>
          <w:lang w:val="en-GB"/>
        </w:rPr>
        <w:t>.</w:t>
      </w:r>
    </w:p>
    <w:p w14:paraId="013A631E" w14:textId="1CFE9169" w:rsidR="00ED2843" w:rsidRPr="008F79F1" w:rsidRDefault="00ED2843" w:rsidP="00694DFA">
      <w:pPr>
        <w:pStyle w:val="Paragraphedeliste"/>
        <w:numPr>
          <w:ilvl w:val="0"/>
          <w:numId w:val="26"/>
        </w:numPr>
        <w:spacing w:before="125" w:line="276" w:lineRule="auto"/>
        <w:ind w:right="358"/>
        <w:jc w:val="both"/>
        <w:rPr>
          <w:rFonts w:ascii="Arial" w:hAnsi="Arial" w:cs="Arial"/>
          <w:sz w:val="24"/>
          <w:szCs w:val="24"/>
          <w:lang w:val="en-GB"/>
        </w:rPr>
      </w:pPr>
      <w:r w:rsidRPr="008F79F1">
        <w:rPr>
          <w:rFonts w:ascii="Arial" w:hAnsi="Arial" w:cs="Arial"/>
          <w:b/>
          <w:bCs/>
          <w:sz w:val="24"/>
          <w:szCs w:val="24"/>
          <w:lang w:val="en-GB"/>
        </w:rPr>
        <w:t>Retain the partnership principle in the next MFF</w:t>
      </w:r>
      <w:r w:rsidRPr="008F79F1">
        <w:rPr>
          <w:rFonts w:ascii="Arial" w:hAnsi="Arial" w:cs="Arial"/>
          <w:sz w:val="24"/>
          <w:szCs w:val="24"/>
          <w:lang w:val="en-GB"/>
        </w:rPr>
        <w:t>. Include a reference to</w:t>
      </w:r>
      <w:r w:rsidR="00C727CD" w:rsidRPr="008F79F1">
        <w:rPr>
          <w:rFonts w:ascii="Arial" w:hAnsi="Arial" w:cs="Arial"/>
          <w:sz w:val="24"/>
          <w:szCs w:val="24"/>
          <w:lang w:val="en-GB"/>
        </w:rPr>
        <w:t xml:space="preserve"> the Code of Conduct on Partnership in the upcoming regulations</w:t>
      </w:r>
      <w:r w:rsidR="00A10A65">
        <w:rPr>
          <w:rFonts w:ascii="Arial" w:hAnsi="Arial" w:cs="Arial"/>
          <w:sz w:val="24"/>
          <w:szCs w:val="24"/>
          <w:lang w:val="en-GB"/>
        </w:rPr>
        <w:t xml:space="preserve"> and </w:t>
      </w:r>
      <w:r w:rsidRPr="008F79F1">
        <w:rPr>
          <w:rFonts w:ascii="Arial" w:hAnsi="Arial" w:cs="Arial"/>
          <w:sz w:val="24"/>
          <w:szCs w:val="24"/>
          <w:lang w:val="en-GB"/>
        </w:rPr>
        <w:t>strengthen it to improve</w:t>
      </w:r>
      <w:r w:rsidR="00C727CD" w:rsidRPr="008F79F1">
        <w:rPr>
          <w:rFonts w:ascii="Arial" w:hAnsi="Arial" w:cs="Arial"/>
          <w:sz w:val="24"/>
          <w:szCs w:val="24"/>
          <w:lang w:val="en-GB"/>
        </w:rPr>
        <w:t xml:space="preserve"> involvement of civil society </w:t>
      </w:r>
      <w:r w:rsidRPr="008F79F1">
        <w:rPr>
          <w:rFonts w:ascii="Arial" w:hAnsi="Arial" w:cs="Arial"/>
          <w:sz w:val="24"/>
          <w:szCs w:val="24"/>
          <w:lang w:val="en-GB"/>
        </w:rPr>
        <w:t>at all stages of EU funds implementation (programming, implementation, monitoring and evaluation)</w:t>
      </w:r>
      <w:r w:rsidR="00C727CD" w:rsidRPr="008F79F1">
        <w:rPr>
          <w:rFonts w:ascii="Arial" w:hAnsi="Arial" w:cs="Arial"/>
          <w:sz w:val="24"/>
          <w:szCs w:val="24"/>
          <w:lang w:val="en-GB"/>
        </w:rPr>
        <w:t>.</w:t>
      </w:r>
    </w:p>
    <w:p w14:paraId="555615ED" w14:textId="77777777" w:rsidR="00ED2843" w:rsidRPr="008F79F1" w:rsidRDefault="00C727CD" w:rsidP="00694DFA">
      <w:pPr>
        <w:pStyle w:val="Paragraphedeliste"/>
        <w:numPr>
          <w:ilvl w:val="0"/>
          <w:numId w:val="26"/>
        </w:numPr>
        <w:spacing w:before="125" w:line="276" w:lineRule="auto"/>
        <w:ind w:right="358"/>
        <w:jc w:val="both"/>
        <w:rPr>
          <w:rFonts w:ascii="Arial" w:hAnsi="Arial" w:cs="Arial"/>
          <w:sz w:val="24"/>
          <w:szCs w:val="24"/>
          <w:lang w:val="en-GB"/>
        </w:rPr>
      </w:pPr>
      <w:r w:rsidRPr="008F79F1">
        <w:rPr>
          <w:rFonts w:ascii="Arial" w:hAnsi="Arial" w:cs="Arial"/>
          <w:b/>
          <w:bCs/>
          <w:sz w:val="24"/>
          <w:szCs w:val="24"/>
          <w:lang w:val="en-GB"/>
        </w:rPr>
        <w:t xml:space="preserve">Support Member States in providing reparations to </w:t>
      </w:r>
      <w:r w:rsidR="00ED2843" w:rsidRPr="008F79F1">
        <w:rPr>
          <w:rFonts w:ascii="Arial" w:hAnsi="Arial" w:cs="Arial"/>
          <w:b/>
          <w:bCs/>
          <w:sz w:val="24"/>
          <w:szCs w:val="24"/>
          <w:lang w:val="en-GB"/>
        </w:rPr>
        <w:t xml:space="preserve">persons with disabilities who are </w:t>
      </w:r>
      <w:r w:rsidRPr="008F79F1">
        <w:rPr>
          <w:rFonts w:ascii="Arial" w:hAnsi="Arial" w:cs="Arial"/>
          <w:b/>
          <w:bCs/>
          <w:sz w:val="24"/>
          <w:szCs w:val="24"/>
          <w:lang w:val="en-GB"/>
        </w:rPr>
        <w:t>survivors of institutionalisation</w:t>
      </w:r>
      <w:r w:rsidRPr="008F79F1">
        <w:rPr>
          <w:rFonts w:ascii="Arial" w:hAnsi="Arial" w:cs="Arial"/>
          <w:sz w:val="24"/>
          <w:szCs w:val="24"/>
          <w:lang w:val="en-GB"/>
        </w:rPr>
        <w:t xml:space="preserve">, including those that were placed in EU-funded institutions, through the provision of technical assistance and the allocation of </w:t>
      </w:r>
      <w:r w:rsidR="00ED2843" w:rsidRPr="008F79F1">
        <w:rPr>
          <w:rFonts w:ascii="Arial" w:hAnsi="Arial" w:cs="Arial"/>
          <w:sz w:val="24"/>
          <w:szCs w:val="24"/>
          <w:lang w:val="en-GB"/>
        </w:rPr>
        <w:t>EU funding</w:t>
      </w:r>
      <w:r w:rsidRPr="008F79F1">
        <w:rPr>
          <w:rFonts w:ascii="Arial" w:hAnsi="Arial" w:cs="Arial"/>
          <w:sz w:val="24"/>
          <w:szCs w:val="24"/>
          <w:lang w:val="en-GB"/>
        </w:rPr>
        <w:t xml:space="preserve"> towards reparation mechanisms.</w:t>
      </w:r>
    </w:p>
    <w:p w14:paraId="0D53DE41" w14:textId="2338FC60" w:rsidR="00C727CD" w:rsidRPr="008F79F1" w:rsidRDefault="00C727CD" w:rsidP="00694DFA">
      <w:pPr>
        <w:pStyle w:val="Paragraphedeliste"/>
        <w:numPr>
          <w:ilvl w:val="0"/>
          <w:numId w:val="26"/>
        </w:numPr>
        <w:spacing w:before="125" w:line="276" w:lineRule="auto"/>
        <w:ind w:right="358"/>
        <w:jc w:val="both"/>
        <w:rPr>
          <w:rFonts w:ascii="Arial" w:hAnsi="Arial" w:cs="Arial"/>
          <w:sz w:val="24"/>
          <w:szCs w:val="24"/>
          <w:lang w:val="en-GB"/>
        </w:rPr>
      </w:pPr>
      <w:r w:rsidRPr="008F79F1">
        <w:rPr>
          <w:rFonts w:ascii="Arial" w:hAnsi="Arial" w:cs="Arial"/>
          <w:b/>
          <w:bCs/>
          <w:sz w:val="24"/>
          <w:szCs w:val="24"/>
          <w:lang w:val="en-GB"/>
        </w:rPr>
        <w:lastRenderedPageBreak/>
        <w:t>Ensure access to justice for people under guardianship</w:t>
      </w:r>
      <w:r w:rsidRPr="008F79F1">
        <w:rPr>
          <w:rFonts w:ascii="Arial" w:hAnsi="Arial" w:cs="Arial"/>
          <w:sz w:val="24"/>
          <w:szCs w:val="24"/>
          <w:lang w:val="en-GB"/>
        </w:rPr>
        <w:t xml:space="preserve"> </w:t>
      </w:r>
      <w:r w:rsidR="00ED2843" w:rsidRPr="008F79F1">
        <w:rPr>
          <w:rFonts w:ascii="Arial" w:hAnsi="Arial" w:cs="Arial"/>
          <w:sz w:val="24"/>
          <w:szCs w:val="24"/>
          <w:lang w:val="en-GB"/>
        </w:rPr>
        <w:t>affected by projects funded by the EU</w:t>
      </w:r>
      <w:r w:rsidRPr="008F79F1">
        <w:rPr>
          <w:rFonts w:ascii="Arial" w:hAnsi="Arial" w:cs="Arial"/>
          <w:sz w:val="24"/>
          <w:szCs w:val="24"/>
          <w:lang w:val="en-GB"/>
        </w:rPr>
        <w:t xml:space="preserve">. Modify </w:t>
      </w:r>
      <w:r w:rsidR="00ED2843" w:rsidRPr="008F79F1">
        <w:rPr>
          <w:rFonts w:ascii="Arial" w:hAnsi="Arial" w:cs="Arial"/>
          <w:sz w:val="24"/>
          <w:szCs w:val="24"/>
          <w:lang w:val="en-GB"/>
        </w:rPr>
        <w:t>existing legislation</w:t>
      </w:r>
      <w:r w:rsidRPr="008F79F1">
        <w:rPr>
          <w:rFonts w:ascii="Arial" w:hAnsi="Arial" w:cs="Arial"/>
          <w:sz w:val="24"/>
          <w:szCs w:val="24"/>
          <w:lang w:val="en-GB"/>
        </w:rPr>
        <w:t xml:space="preserve"> to ensure the possibility of third party representation</w:t>
      </w:r>
      <w:r w:rsidR="00ED2843" w:rsidRPr="008F79F1">
        <w:rPr>
          <w:rFonts w:ascii="Arial" w:hAnsi="Arial" w:cs="Arial"/>
          <w:sz w:val="24"/>
          <w:szCs w:val="24"/>
          <w:lang w:val="en-GB"/>
        </w:rPr>
        <w:t xml:space="preserve">, including by </w:t>
      </w:r>
      <w:proofErr w:type="spellStart"/>
      <w:r w:rsidR="00ED2843" w:rsidRPr="008F79F1">
        <w:rPr>
          <w:rFonts w:ascii="Arial" w:hAnsi="Arial" w:cs="Arial"/>
          <w:sz w:val="24"/>
          <w:szCs w:val="24"/>
          <w:lang w:val="en-GB"/>
        </w:rPr>
        <w:t>non governmental</w:t>
      </w:r>
      <w:proofErr w:type="spellEnd"/>
      <w:r w:rsidR="00ED2843" w:rsidRPr="008F79F1">
        <w:rPr>
          <w:rFonts w:ascii="Arial" w:hAnsi="Arial" w:cs="Arial"/>
          <w:sz w:val="24"/>
          <w:szCs w:val="24"/>
          <w:lang w:val="en-GB"/>
        </w:rPr>
        <w:t xml:space="preserve"> organisations,</w:t>
      </w:r>
      <w:r w:rsidRPr="008F79F1">
        <w:rPr>
          <w:rFonts w:ascii="Arial" w:hAnsi="Arial" w:cs="Arial"/>
          <w:sz w:val="24"/>
          <w:szCs w:val="24"/>
          <w:lang w:val="en-GB"/>
        </w:rPr>
        <w:t xml:space="preserve"> </w:t>
      </w:r>
      <w:r w:rsidR="00ED2843" w:rsidRPr="008F79F1">
        <w:rPr>
          <w:rFonts w:ascii="Arial" w:hAnsi="Arial" w:cs="Arial"/>
          <w:sz w:val="24"/>
          <w:szCs w:val="24"/>
          <w:lang w:val="en-GB"/>
        </w:rPr>
        <w:t>at</w:t>
      </w:r>
      <w:r w:rsidRPr="008F79F1">
        <w:rPr>
          <w:rFonts w:ascii="Arial" w:hAnsi="Arial" w:cs="Arial"/>
          <w:sz w:val="24"/>
          <w:szCs w:val="24"/>
          <w:lang w:val="en-GB"/>
        </w:rPr>
        <w:t xml:space="preserve"> the European Court of Justice.</w:t>
      </w:r>
    </w:p>
    <w:p w14:paraId="78085EF2" w14:textId="6FD4D131" w:rsidR="00ED2843" w:rsidRPr="008F79F1" w:rsidRDefault="00964777" w:rsidP="00ED2843">
      <w:pPr>
        <w:pStyle w:val="Titre2"/>
        <w:spacing w:line="276" w:lineRule="auto"/>
        <w:jc w:val="both"/>
        <w:rPr>
          <w:lang w:val="en-GB"/>
        </w:rPr>
      </w:pPr>
      <w:bookmarkStart w:id="6" w:name="_Toc196926857"/>
      <w:r w:rsidRPr="008F79F1">
        <w:rPr>
          <w:lang w:val="en-GB"/>
        </w:rPr>
        <w:t>Ensure that</w:t>
      </w:r>
      <w:r w:rsidR="00ED2843" w:rsidRPr="008F79F1">
        <w:rPr>
          <w:lang w:val="en-GB"/>
        </w:rPr>
        <w:t xml:space="preserve"> the EU’s external action </w:t>
      </w:r>
      <w:bookmarkEnd w:id="6"/>
      <w:r w:rsidRPr="008F79F1">
        <w:rPr>
          <w:lang w:val="en-GB"/>
        </w:rPr>
        <w:t>supports community-based services that enable independent living</w:t>
      </w:r>
    </w:p>
    <w:p w14:paraId="742F6A30" w14:textId="529C22BE" w:rsidR="00ED2843" w:rsidRPr="008F79F1" w:rsidRDefault="00ED2843" w:rsidP="00ED2843">
      <w:pPr>
        <w:spacing w:line="276" w:lineRule="auto"/>
        <w:jc w:val="both"/>
        <w:rPr>
          <w:rFonts w:ascii="Arial" w:hAnsi="Arial" w:cs="Arial"/>
          <w:sz w:val="24"/>
          <w:szCs w:val="24"/>
          <w:lang w:val="en-GB"/>
        </w:rPr>
      </w:pPr>
      <w:r w:rsidRPr="008F79F1">
        <w:rPr>
          <w:rFonts w:ascii="Arial" w:hAnsi="Arial" w:cs="Arial"/>
          <w:sz w:val="24"/>
          <w:szCs w:val="24"/>
          <w:lang w:val="en-GB"/>
        </w:rPr>
        <w:t xml:space="preserve">There is no specific strategy on disability inclusion for the EU’s development and humanitarian aid and neighbourhood funding. The EU Strategy on the Rights of Persons with Disabilities 2021-2030 includes a section on international cooperation, with five specific initiatives, but these aim to strengthen existing actions instead of creating new objectives and goals. </w:t>
      </w:r>
      <w:r w:rsidR="00BD612C" w:rsidRPr="008F79F1">
        <w:rPr>
          <w:rFonts w:ascii="Arial" w:hAnsi="Arial" w:cs="Arial"/>
          <w:sz w:val="24"/>
          <w:szCs w:val="24"/>
          <w:lang w:val="en-GB"/>
        </w:rPr>
        <w:t>Furthermore, t</w:t>
      </w:r>
      <w:r w:rsidRPr="008F79F1">
        <w:rPr>
          <w:rFonts w:ascii="Arial" w:hAnsi="Arial" w:cs="Arial"/>
          <w:sz w:val="24"/>
          <w:szCs w:val="24"/>
          <w:lang w:val="en-GB"/>
        </w:rPr>
        <w:t xml:space="preserve">he actions lack defined timeframes, allocated budget and indicators. As the largest donor of Official Development Assistance globally, this is not sufficient to guide disability-inclusive development aid. </w:t>
      </w:r>
      <w:r w:rsidR="006725F9" w:rsidRPr="008F79F1">
        <w:rPr>
          <w:rFonts w:ascii="Arial" w:hAnsi="Arial" w:cs="Arial"/>
          <w:sz w:val="24"/>
          <w:szCs w:val="24"/>
          <w:lang w:val="en-GB"/>
        </w:rPr>
        <w:t>Persons with disabilities</w:t>
      </w:r>
      <w:r w:rsidRPr="008F79F1">
        <w:rPr>
          <w:rFonts w:ascii="Arial" w:hAnsi="Arial" w:cs="Arial"/>
          <w:sz w:val="24"/>
          <w:szCs w:val="24"/>
          <w:lang w:val="en-GB"/>
        </w:rPr>
        <w:t xml:space="preserve">, </w:t>
      </w:r>
      <w:r w:rsidR="00D825AB">
        <w:rPr>
          <w:rFonts w:ascii="Arial" w:hAnsi="Arial" w:cs="Arial"/>
          <w:sz w:val="24"/>
          <w:szCs w:val="24"/>
          <w:lang w:val="en-GB"/>
        </w:rPr>
        <w:t>organisations of persons with disabilities (</w:t>
      </w:r>
      <w:r w:rsidRPr="008F79F1">
        <w:rPr>
          <w:rFonts w:ascii="Arial" w:hAnsi="Arial" w:cs="Arial"/>
          <w:sz w:val="24"/>
          <w:szCs w:val="24"/>
          <w:lang w:val="en-GB"/>
        </w:rPr>
        <w:t>DPOs</w:t>
      </w:r>
      <w:r w:rsidR="00D825AB">
        <w:rPr>
          <w:rFonts w:ascii="Arial" w:hAnsi="Arial" w:cs="Arial"/>
          <w:sz w:val="24"/>
          <w:szCs w:val="24"/>
          <w:lang w:val="en-GB"/>
        </w:rPr>
        <w:t>)</w:t>
      </w:r>
      <w:r w:rsidRPr="008F79F1">
        <w:rPr>
          <w:rFonts w:ascii="Arial" w:hAnsi="Arial" w:cs="Arial"/>
          <w:sz w:val="24"/>
          <w:szCs w:val="24"/>
          <w:lang w:val="en-GB"/>
        </w:rPr>
        <w:t xml:space="preserve"> and </w:t>
      </w:r>
      <w:proofErr w:type="spellStart"/>
      <w:r w:rsidRPr="008F79F1">
        <w:rPr>
          <w:rFonts w:ascii="Arial" w:hAnsi="Arial" w:cs="Arial"/>
          <w:sz w:val="24"/>
          <w:szCs w:val="24"/>
          <w:lang w:val="en-GB"/>
        </w:rPr>
        <w:t>Centers</w:t>
      </w:r>
      <w:proofErr w:type="spellEnd"/>
      <w:r w:rsidRPr="008F79F1">
        <w:rPr>
          <w:rFonts w:ascii="Arial" w:hAnsi="Arial" w:cs="Arial"/>
          <w:sz w:val="24"/>
          <w:szCs w:val="24"/>
          <w:lang w:val="en-GB"/>
        </w:rPr>
        <w:t xml:space="preserve"> for Independent Living globally struggle to access external EU funding, due to the</w:t>
      </w:r>
      <w:r w:rsidR="006725F9" w:rsidRPr="008F79F1">
        <w:rPr>
          <w:rFonts w:ascii="Arial" w:hAnsi="Arial" w:cs="Arial"/>
          <w:sz w:val="24"/>
          <w:szCs w:val="24"/>
          <w:lang w:val="en-GB"/>
        </w:rPr>
        <w:t xml:space="preserve"> size of the calls, the</w:t>
      </w:r>
      <w:r w:rsidRPr="008F79F1">
        <w:rPr>
          <w:rFonts w:ascii="Arial" w:hAnsi="Arial" w:cs="Arial"/>
          <w:sz w:val="24"/>
          <w:szCs w:val="24"/>
          <w:lang w:val="en-GB"/>
        </w:rPr>
        <w:t xml:space="preserve"> </w:t>
      </w:r>
      <w:r w:rsidR="006725F9" w:rsidRPr="008F79F1">
        <w:rPr>
          <w:rFonts w:ascii="Arial" w:hAnsi="Arial" w:cs="Arial"/>
          <w:sz w:val="24"/>
          <w:szCs w:val="24"/>
          <w:lang w:val="en-GB"/>
        </w:rPr>
        <w:t>favouring of pre-approved partners (large organisations and charities),</w:t>
      </w:r>
      <w:r w:rsidRPr="008F79F1">
        <w:rPr>
          <w:rFonts w:ascii="Arial" w:hAnsi="Arial" w:cs="Arial"/>
          <w:sz w:val="24"/>
          <w:szCs w:val="24"/>
          <w:lang w:val="en-GB"/>
        </w:rPr>
        <w:t xml:space="preserve"> and the difficulty to access funding as small organisations.</w:t>
      </w:r>
    </w:p>
    <w:p w14:paraId="5A09B271" w14:textId="01161CA2" w:rsidR="00ED2843" w:rsidRPr="008F79F1" w:rsidRDefault="00ED2843" w:rsidP="00ED2843">
      <w:pPr>
        <w:spacing w:line="276" w:lineRule="auto"/>
        <w:jc w:val="both"/>
        <w:rPr>
          <w:rFonts w:ascii="Arial" w:hAnsi="Arial" w:cs="Arial"/>
          <w:sz w:val="24"/>
          <w:szCs w:val="24"/>
          <w:lang w:val="en-GB"/>
        </w:rPr>
      </w:pPr>
      <w:r w:rsidRPr="008F79F1">
        <w:rPr>
          <w:rFonts w:ascii="Arial" w:hAnsi="Arial" w:cs="Arial"/>
          <w:sz w:val="24"/>
          <w:szCs w:val="24"/>
          <w:lang w:val="en-GB"/>
        </w:rPr>
        <w:t xml:space="preserve">In the European Union </w:t>
      </w:r>
      <w:r w:rsidRPr="00A10A65">
        <w:rPr>
          <w:rFonts w:ascii="Arial" w:hAnsi="Arial" w:cs="Arial"/>
          <w:sz w:val="24"/>
          <w:szCs w:val="24"/>
          <w:lang w:val="en-GB"/>
        </w:rPr>
        <w:t>Guidance Note on "Leaving no one behind - Disability Inclusion in EU External Action”</w:t>
      </w:r>
      <w:r w:rsidR="00A10A65">
        <w:rPr>
          <w:rStyle w:val="Appelnotedebasdep"/>
          <w:rFonts w:ascii="Arial" w:hAnsi="Arial" w:cs="Arial"/>
          <w:sz w:val="24"/>
          <w:szCs w:val="24"/>
          <w:lang w:val="en-GB"/>
        </w:rPr>
        <w:footnoteReference w:id="21"/>
      </w:r>
      <w:r w:rsidRPr="008F79F1">
        <w:rPr>
          <w:rFonts w:ascii="Arial" w:hAnsi="Arial" w:cs="Arial"/>
          <w:sz w:val="24"/>
          <w:szCs w:val="24"/>
          <w:lang w:val="en-GB"/>
        </w:rPr>
        <w:t>, which guides EU’s staff and partners working in external action, the EU recognises the need for its staff and delegations around the world to further work on the implementation of the UNCRPD. The EU has further committed to use of the Organisation for Economic Cooperation and Development’s Development Assistance Committee (OECD-DAC) disability marker to screen 100% of its Official Development Assistance.</w:t>
      </w:r>
    </w:p>
    <w:p w14:paraId="410F6E65" w14:textId="0DB1B317" w:rsidR="00ED2843" w:rsidRPr="008F79F1" w:rsidRDefault="00ED2843" w:rsidP="00ED2843">
      <w:pPr>
        <w:spacing w:line="276" w:lineRule="auto"/>
        <w:jc w:val="both"/>
        <w:rPr>
          <w:rFonts w:ascii="Arial" w:hAnsi="Arial" w:cs="Arial"/>
          <w:sz w:val="24"/>
          <w:szCs w:val="24"/>
          <w:lang w:val="en-GB"/>
        </w:rPr>
      </w:pPr>
      <w:r w:rsidRPr="008F79F1">
        <w:rPr>
          <w:rFonts w:ascii="Arial" w:hAnsi="Arial" w:cs="Arial"/>
          <w:sz w:val="24"/>
          <w:szCs w:val="24"/>
          <w:lang w:val="en-GB"/>
        </w:rPr>
        <w:t>In addition, the main financing instrument for international development</w:t>
      </w:r>
      <w:r w:rsidR="006725F9" w:rsidRPr="008F79F1">
        <w:rPr>
          <w:rFonts w:ascii="Arial" w:hAnsi="Arial" w:cs="Arial"/>
          <w:sz w:val="24"/>
          <w:szCs w:val="24"/>
          <w:lang w:val="en-GB"/>
        </w:rPr>
        <w:t xml:space="preserve"> in 2021 - 2027</w:t>
      </w:r>
      <w:r w:rsidRPr="008F79F1">
        <w:rPr>
          <w:rFonts w:ascii="Arial" w:hAnsi="Arial" w:cs="Arial"/>
          <w:sz w:val="24"/>
          <w:szCs w:val="24"/>
          <w:lang w:val="en-GB"/>
        </w:rPr>
        <w:t xml:space="preserve">, the </w:t>
      </w:r>
      <w:r w:rsidRPr="00A10A65">
        <w:rPr>
          <w:rFonts w:ascii="Arial" w:hAnsi="Arial" w:cs="Arial"/>
          <w:sz w:val="24"/>
          <w:szCs w:val="24"/>
          <w:lang w:val="en-GB"/>
        </w:rPr>
        <w:t>Neighbourhood, Development and International Cooperation Instrument - Global Europe (NDICI)</w:t>
      </w:r>
      <w:r w:rsidR="00A10A65">
        <w:rPr>
          <w:rStyle w:val="Appelnotedebasdep"/>
          <w:rFonts w:ascii="Arial" w:hAnsi="Arial" w:cs="Arial"/>
          <w:sz w:val="24"/>
          <w:szCs w:val="24"/>
          <w:lang w:val="en-GB"/>
        </w:rPr>
        <w:footnoteReference w:id="22"/>
      </w:r>
      <w:r w:rsidRPr="008F79F1">
        <w:rPr>
          <w:rFonts w:ascii="Arial" w:hAnsi="Arial" w:cs="Arial"/>
          <w:sz w:val="24"/>
          <w:szCs w:val="24"/>
          <w:lang w:val="en-GB"/>
        </w:rPr>
        <w:t xml:space="preserve">, lacks specific goals to advance the UNCRPD, only mentioning </w:t>
      </w:r>
      <w:r w:rsidR="006725F9" w:rsidRPr="008F79F1">
        <w:rPr>
          <w:rFonts w:ascii="Arial" w:hAnsi="Arial" w:cs="Arial"/>
          <w:sz w:val="24"/>
          <w:szCs w:val="24"/>
          <w:lang w:val="en-GB"/>
        </w:rPr>
        <w:t>persons with disabilities</w:t>
      </w:r>
      <w:r w:rsidRPr="008F79F1">
        <w:rPr>
          <w:rFonts w:ascii="Arial" w:hAnsi="Arial" w:cs="Arial"/>
          <w:sz w:val="24"/>
          <w:szCs w:val="24"/>
          <w:lang w:val="en-GB"/>
        </w:rPr>
        <w:t xml:space="preserve"> along other marginalised groups. Currently, none of the existing plans, strategies and programmes prioritise the right to independent living and being included in the community.</w:t>
      </w:r>
    </w:p>
    <w:p w14:paraId="080AEE43" w14:textId="6FB14856" w:rsidR="00ED2843" w:rsidRPr="008F79F1" w:rsidRDefault="00ED2843" w:rsidP="00ED2843">
      <w:pPr>
        <w:spacing w:line="276" w:lineRule="auto"/>
        <w:jc w:val="both"/>
        <w:rPr>
          <w:rFonts w:ascii="Arial" w:hAnsi="Arial" w:cs="Arial"/>
          <w:sz w:val="24"/>
          <w:szCs w:val="24"/>
          <w:lang w:val="en-GB"/>
        </w:rPr>
      </w:pPr>
      <w:r w:rsidRPr="008F79F1">
        <w:rPr>
          <w:rFonts w:ascii="Arial" w:hAnsi="Arial" w:cs="Arial"/>
          <w:sz w:val="24"/>
          <w:szCs w:val="24"/>
          <w:lang w:val="en-GB"/>
        </w:rPr>
        <w:t xml:space="preserve">Progress on advancing independent living through external action seems limited. In </w:t>
      </w:r>
      <w:r w:rsidR="00674981">
        <w:rPr>
          <w:rFonts w:ascii="Arial" w:hAnsi="Arial" w:cs="Arial"/>
          <w:sz w:val="24"/>
          <w:szCs w:val="24"/>
          <w:lang w:val="en-GB"/>
        </w:rPr>
        <w:t>ENIL and EDF’s joint</w:t>
      </w:r>
      <w:r w:rsidRPr="008F79F1">
        <w:rPr>
          <w:rFonts w:ascii="Arial" w:hAnsi="Arial" w:cs="Arial"/>
          <w:sz w:val="24"/>
          <w:szCs w:val="24"/>
          <w:lang w:val="en-GB"/>
        </w:rPr>
        <w:t xml:space="preserve"> 2022 report on the </w:t>
      </w:r>
      <w:r w:rsidRPr="00674981">
        <w:rPr>
          <w:rFonts w:ascii="Arial" w:hAnsi="Arial" w:cs="Arial"/>
          <w:sz w:val="24"/>
          <w:szCs w:val="24"/>
          <w:lang w:val="en-GB"/>
        </w:rPr>
        <w:t>role of the EU in promoting independent living outside the EU</w:t>
      </w:r>
      <w:r w:rsidR="00674981">
        <w:rPr>
          <w:rStyle w:val="Appelnotedebasdep"/>
          <w:rFonts w:ascii="Arial" w:hAnsi="Arial" w:cs="Arial"/>
          <w:sz w:val="24"/>
          <w:szCs w:val="24"/>
          <w:lang w:val="en-GB"/>
        </w:rPr>
        <w:footnoteReference w:id="23"/>
      </w:r>
      <w:r w:rsidRPr="008F79F1">
        <w:rPr>
          <w:rFonts w:ascii="Arial" w:hAnsi="Arial" w:cs="Arial"/>
          <w:sz w:val="24"/>
          <w:szCs w:val="24"/>
          <w:lang w:val="en-GB"/>
        </w:rPr>
        <w:t xml:space="preserve">, we found that, despite the lack of transparency, there are very few projects financed by the EU on deinstitutionalisation, but there are still investments into </w:t>
      </w:r>
      <w:r w:rsidRPr="008F79F1">
        <w:rPr>
          <w:rFonts w:ascii="Arial" w:hAnsi="Arial" w:cs="Arial"/>
          <w:sz w:val="24"/>
          <w:szCs w:val="24"/>
          <w:lang w:val="en-GB"/>
        </w:rPr>
        <w:lastRenderedPageBreak/>
        <w:t>institutions and small group homes. Deinstitutionalisation is not a funding priority for the EU.</w:t>
      </w:r>
    </w:p>
    <w:p w14:paraId="26634474" w14:textId="766710D5" w:rsidR="00ED2843" w:rsidRPr="008F79F1" w:rsidRDefault="00ED2843" w:rsidP="00ED2843">
      <w:pPr>
        <w:spacing w:line="276" w:lineRule="auto"/>
        <w:jc w:val="both"/>
        <w:rPr>
          <w:rFonts w:ascii="Arial" w:hAnsi="Arial" w:cs="Arial"/>
          <w:sz w:val="24"/>
          <w:szCs w:val="24"/>
          <w:lang w:val="en-GB"/>
        </w:rPr>
      </w:pPr>
      <w:r w:rsidRPr="008F79F1">
        <w:rPr>
          <w:rFonts w:ascii="Arial" w:hAnsi="Arial" w:cs="Arial"/>
          <w:sz w:val="24"/>
          <w:szCs w:val="24"/>
          <w:lang w:val="en-GB"/>
        </w:rPr>
        <w:t xml:space="preserve">When assessing progress in </w:t>
      </w:r>
      <w:r w:rsidR="006725F9" w:rsidRPr="008F79F1">
        <w:rPr>
          <w:rFonts w:ascii="Arial" w:hAnsi="Arial" w:cs="Arial"/>
          <w:sz w:val="24"/>
          <w:szCs w:val="24"/>
          <w:lang w:val="en-GB"/>
        </w:rPr>
        <w:t>implementing the UNCRPD in the EU neighbourhood</w:t>
      </w:r>
      <w:r w:rsidRPr="008F79F1">
        <w:rPr>
          <w:rFonts w:ascii="Arial" w:hAnsi="Arial" w:cs="Arial"/>
          <w:sz w:val="24"/>
          <w:szCs w:val="24"/>
          <w:lang w:val="en-GB"/>
        </w:rPr>
        <w:t xml:space="preserve">, </w:t>
      </w:r>
      <w:r w:rsidR="006725F9" w:rsidRPr="008F79F1">
        <w:rPr>
          <w:rFonts w:ascii="Arial" w:hAnsi="Arial" w:cs="Arial"/>
          <w:sz w:val="24"/>
          <w:szCs w:val="24"/>
          <w:lang w:val="en-GB"/>
        </w:rPr>
        <w:t>we are concerned that</w:t>
      </w:r>
      <w:r w:rsidRPr="008F79F1">
        <w:rPr>
          <w:rFonts w:ascii="Arial" w:hAnsi="Arial" w:cs="Arial"/>
          <w:sz w:val="24"/>
          <w:szCs w:val="24"/>
          <w:lang w:val="en-GB"/>
        </w:rPr>
        <w:t xml:space="preserve"> deinstitutionalisation is not included as a priority, and</w:t>
      </w:r>
      <w:r w:rsidR="006725F9" w:rsidRPr="008F79F1">
        <w:rPr>
          <w:rFonts w:ascii="Arial" w:hAnsi="Arial" w:cs="Arial"/>
          <w:sz w:val="24"/>
          <w:szCs w:val="24"/>
          <w:lang w:val="en-GB"/>
        </w:rPr>
        <w:t xml:space="preserve"> where deinstitutionalisation projects are being implemented, these are often not in line with the Convention. For example, settings such as </w:t>
      </w:r>
      <w:r w:rsidRPr="008F79F1">
        <w:rPr>
          <w:rFonts w:ascii="Arial" w:hAnsi="Arial" w:cs="Arial"/>
          <w:sz w:val="24"/>
          <w:szCs w:val="24"/>
          <w:lang w:val="en-GB"/>
        </w:rPr>
        <w:t xml:space="preserve">small group homes </w:t>
      </w:r>
      <w:r w:rsidR="006725F9" w:rsidRPr="008F79F1">
        <w:rPr>
          <w:rFonts w:ascii="Arial" w:hAnsi="Arial" w:cs="Arial"/>
          <w:sz w:val="24"/>
          <w:szCs w:val="24"/>
          <w:lang w:val="en-GB"/>
        </w:rPr>
        <w:t>and family-based homes for children have</w:t>
      </w:r>
      <w:r w:rsidRPr="008F79F1">
        <w:rPr>
          <w:rFonts w:ascii="Arial" w:hAnsi="Arial" w:cs="Arial"/>
          <w:sz w:val="24"/>
          <w:szCs w:val="24"/>
          <w:lang w:val="en-GB"/>
        </w:rPr>
        <w:t xml:space="preserve"> be</w:t>
      </w:r>
      <w:r w:rsidR="006725F9" w:rsidRPr="008F79F1">
        <w:rPr>
          <w:rFonts w:ascii="Arial" w:hAnsi="Arial" w:cs="Arial"/>
          <w:sz w:val="24"/>
          <w:szCs w:val="24"/>
          <w:lang w:val="en-GB"/>
        </w:rPr>
        <w:t>en</w:t>
      </w:r>
      <w:r w:rsidRPr="008F79F1">
        <w:rPr>
          <w:rFonts w:ascii="Arial" w:hAnsi="Arial" w:cs="Arial"/>
          <w:sz w:val="24"/>
          <w:szCs w:val="24"/>
          <w:lang w:val="en-GB"/>
        </w:rPr>
        <w:t xml:space="preserve"> considered a form of deinstitutionalisation. </w:t>
      </w:r>
      <w:r w:rsidR="006725F9" w:rsidRPr="008F79F1">
        <w:rPr>
          <w:rFonts w:ascii="Arial" w:hAnsi="Arial" w:cs="Arial"/>
          <w:sz w:val="24"/>
          <w:szCs w:val="24"/>
          <w:lang w:val="en-GB"/>
        </w:rPr>
        <w:t>T</w:t>
      </w:r>
      <w:r w:rsidRPr="008F79F1">
        <w:rPr>
          <w:rFonts w:ascii="Arial" w:hAnsi="Arial" w:cs="Arial"/>
          <w:sz w:val="24"/>
          <w:szCs w:val="24"/>
          <w:lang w:val="en-GB"/>
        </w:rPr>
        <w:t>he 2021 progress report by the Commission on North Macedonia stated: “The deinstitutionalisation process is completed, the remaining four children in institutional care are in transitional period and soon to be resettled. The conditions for children settled into community-based care homes are generally satisfactory.”</w:t>
      </w:r>
    </w:p>
    <w:p w14:paraId="4945CDE3" w14:textId="1857BE5B" w:rsidR="00ED2843" w:rsidRPr="008F79F1" w:rsidRDefault="00ED2843" w:rsidP="00ED2843">
      <w:pPr>
        <w:spacing w:line="276" w:lineRule="auto"/>
        <w:jc w:val="both"/>
        <w:rPr>
          <w:rFonts w:ascii="Arial" w:hAnsi="Arial" w:cs="Arial"/>
          <w:sz w:val="24"/>
          <w:szCs w:val="24"/>
          <w:lang w:val="en-GB"/>
        </w:rPr>
      </w:pPr>
      <w:r w:rsidRPr="008F79F1">
        <w:rPr>
          <w:rFonts w:ascii="Arial" w:hAnsi="Arial" w:cs="Arial"/>
          <w:sz w:val="24"/>
          <w:szCs w:val="24"/>
          <w:lang w:val="en-GB"/>
        </w:rPr>
        <w:t xml:space="preserve">Our report also raised concerns about the expertise of those receiving grants to implement deinstitutionalisation. According to DPOs, </w:t>
      </w:r>
      <w:r w:rsidR="006725F9" w:rsidRPr="008F79F1">
        <w:rPr>
          <w:rFonts w:ascii="Arial" w:hAnsi="Arial" w:cs="Arial"/>
          <w:sz w:val="24"/>
          <w:szCs w:val="24"/>
          <w:lang w:val="en-GB"/>
        </w:rPr>
        <w:t>many</w:t>
      </w:r>
      <w:r w:rsidRPr="008F79F1">
        <w:rPr>
          <w:rFonts w:ascii="Arial" w:hAnsi="Arial" w:cs="Arial"/>
          <w:sz w:val="24"/>
          <w:szCs w:val="24"/>
          <w:lang w:val="en-GB"/>
        </w:rPr>
        <w:t xml:space="preserve"> projects are focused on research, analyses and development of “individual plans” of residents of institutions, failing to produce any concrete results, with regard to providing opportunities for persons with disabilities to live independently in the community.  </w:t>
      </w:r>
    </w:p>
    <w:p w14:paraId="15F85CB4" w14:textId="7830A726" w:rsidR="00ED2843" w:rsidRPr="008F79F1" w:rsidRDefault="00964777" w:rsidP="00ED2843">
      <w:pPr>
        <w:spacing w:line="276" w:lineRule="auto"/>
        <w:jc w:val="both"/>
        <w:rPr>
          <w:rFonts w:ascii="Arial" w:hAnsi="Arial" w:cs="Arial"/>
          <w:sz w:val="24"/>
          <w:szCs w:val="24"/>
          <w:lang w:val="en-GB"/>
        </w:rPr>
      </w:pPr>
      <w:r w:rsidRPr="008F79F1">
        <w:rPr>
          <w:rFonts w:ascii="Arial" w:hAnsi="Arial" w:cs="Arial"/>
          <w:sz w:val="24"/>
          <w:szCs w:val="24"/>
          <w:lang w:val="en-GB"/>
        </w:rPr>
        <w:t>Persons with disabilities</w:t>
      </w:r>
      <w:r w:rsidR="00ED2843" w:rsidRPr="008F79F1">
        <w:rPr>
          <w:rFonts w:ascii="Arial" w:hAnsi="Arial" w:cs="Arial"/>
          <w:sz w:val="24"/>
          <w:szCs w:val="24"/>
          <w:lang w:val="en-GB"/>
        </w:rPr>
        <w:t xml:space="preserve"> and survivors of institutionalisation </w:t>
      </w:r>
      <w:r w:rsidRPr="008F79F1">
        <w:rPr>
          <w:rFonts w:ascii="Arial" w:hAnsi="Arial" w:cs="Arial"/>
          <w:sz w:val="24"/>
          <w:szCs w:val="24"/>
          <w:lang w:val="en-GB"/>
        </w:rPr>
        <w:t>have</w:t>
      </w:r>
      <w:r w:rsidR="00ED2843" w:rsidRPr="008F79F1">
        <w:rPr>
          <w:rFonts w:ascii="Arial" w:hAnsi="Arial" w:cs="Arial"/>
          <w:sz w:val="24"/>
          <w:szCs w:val="24"/>
          <w:lang w:val="en-GB"/>
        </w:rPr>
        <w:t xml:space="preserve"> not</w:t>
      </w:r>
      <w:r w:rsidRPr="008F79F1">
        <w:rPr>
          <w:rFonts w:ascii="Arial" w:hAnsi="Arial" w:cs="Arial"/>
          <w:sz w:val="24"/>
          <w:szCs w:val="24"/>
          <w:lang w:val="en-GB"/>
        </w:rPr>
        <w:t xml:space="preserve"> been</w:t>
      </w:r>
      <w:r w:rsidR="00ED2843" w:rsidRPr="008F79F1">
        <w:rPr>
          <w:rFonts w:ascii="Arial" w:hAnsi="Arial" w:cs="Arial"/>
          <w:sz w:val="24"/>
          <w:szCs w:val="24"/>
          <w:lang w:val="en-GB"/>
        </w:rPr>
        <w:t xml:space="preserve"> involved as equal partners in the funding cycle (planning, implementation and monitoring). Even </w:t>
      </w:r>
      <w:r w:rsidRPr="008F79F1">
        <w:rPr>
          <w:rFonts w:ascii="Arial" w:hAnsi="Arial" w:cs="Arial"/>
          <w:sz w:val="24"/>
          <w:szCs w:val="24"/>
          <w:lang w:val="en-GB"/>
        </w:rPr>
        <w:t>where</w:t>
      </w:r>
      <w:r w:rsidR="00ED2843" w:rsidRPr="008F79F1">
        <w:rPr>
          <w:rFonts w:ascii="Arial" w:hAnsi="Arial" w:cs="Arial"/>
          <w:sz w:val="24"/>
          <w:szCs w:val="24"/>
          <w:lang w:val="en-GB"/>
        </w:rPr>
        <w:t xml:space="preserve"> engaged at some stage, they </w:t>
      </w:r>
      <w:r w:rsidRPr="008F79F1">
        <w:rPr>
          <w:rFonts w:ascii="Arial" w:hAnsi="Arial" w:cs="Arial"/>
          <w:sz w:val="24"/>
          <w:szCs w:val="24"/>
          <w:lang w:val="en-GB"/>
        </w:rPr>
        <w:t>have</w:t>
      </w:r>
      <w:r w:rsidR="00ED2843" w:rsidRPr="008F79F1">
        <w:rPr>
          <w:rFonts w:ascii="Arial" w:hAnsi="Arial" w:cs="Arial"/>
          <w:sz w:val="24"/>
          <w:szCs w:val="24"/>
          <w:lang w:val="en-GB"/>
        </w:rPr>
        <w:t xml:space="preserve"> not</w:t>
      </w:r>
      <w:r w:rsidRPr="008F79F1">
        <w:rPr>
          <w:rFonts w:ascii="Arial" w:hAnsi="Arial" w:cs="Arial"/>
          <w:sz w:val="24"/>
          <w:szCs w:val="24"/>
          <w:lang w:val="en-GB"/>
        </w:rPr>
        <w:t xml:space="preserve"> been able to</w:t>
      </w:r>
      <w:r w:rsidR="00ED2843" w:rsidRPr="008F79F1">
        <w:rPr>
          <w:rFonts w:ascii="Arial" w:hAnsi="Arial" w:cs="Arial"/>
          <w:sz w:val="24"/>
          <w:szCs w:val="24"/>
          <w:lang w:val="en-GB"/>
        </w:rPr>
        <w:t xml:space="preserve"> mak</w:t>
      </w:r>
      <w:r w:rsidRPr="008F79F1">
        <w:rPr>
          <w:rFonts w:ascii="Arial" w:hAnsi="Arial" w:cs="Arial"/>
          <w:sz w:val="24"/>
          <w:szCs w:val="24"/>
          <w:lang w:val="en-GB"/>
        </w:rPr>
        <w:t>e</w:t>
      </w:r>
      <w:r w:rsidR="00ED2843" w:rsidRPr="008F79F1">
        <w:rPr>
          <w:rFonts w:ascii="Arial" w:hAnsi="Arial" w:cs="Arial"/>
          <w:sz w:val="24"/>
          <w:szCs w:val="24"/>
          <w:lang w:val="en-GB"/>
        </w:rPr>
        <w:t xml:space="preserve"> decisions or tak</w:t>
      </w:r>
      <w:r w:rsidRPr="008F79F1">
        <w:rPr>
          <w:rFonts w:ascii="Arial" w:hAnsi="Arial" w:cs="Arial"/>
          <w:sz w:val="24"/>
          <w:szCs w:val="24"/>
          <w:lang w:val="en-GB"/>
        </w:rPr>
        <w:t>e</w:t>
      </w:r>
      <w:r w:rsidR="00ED2843" w:rsidRPr="008F79F1">
        <w:rPr>
          <w:rFonts w:ascii="Arial" w:hAnsi="Arial" w:cs="Arial"/>
          <w:sz w:val="24"/>
          <w:szCs w:val="24"/>
          <w:lang w:val="en-GB"/>
        </w:rPr>
        <w:t xml:space="preserve"> a leadership role.</w:t>
      </w:r>
    </w:p>
    <w:p w14:paraId="3CE845CD" w14:textId="77777777" w:rsidR="00964777" w:rsidRPr="008F79F1" w:rsidRDefault="00964777" w:rsidP="00964777">
      <w:pPr>
        <w:spacing w:line="276" w:lineRule="auto"/>
        <w:jc w:val="both"/>
        <w:rPr>
          <w:rFonts w:ascii="Arial" w:hAnsi="Arial" w:cs="Arial"/>
          <w:sz w:val="24"/>
          <w:szCs w:val="24"/>
          <w:lang w:val="en-GB"/>
        </w:rPr>
      </w:pPr>
      <w:r w:rsidRPr="008F79F1">
        <w:rPr>
          <w:rFonts w:ascii="Arial" w:hAnsi="Arial" w:cs="Arial"/>
          <w:b/>
          <w:bCs/>
          <w:sz w:val="24"/>
          <w:szCs w:val="24"/>
          <w:lang w:val="en-GB"/>
        </w:rPr>
        <w:t>Recommendations for the next MFF:</w:t>
      </w:r>
      <w:r w:rsidRPr="008F79F1">
        <w:rPr>
          <w:rFonts w:ascii="Arial" w:hAnsi="Arial" w:cs="Arial"/>
          <w:sz w:val="24"/>
          <w:szCs w:val="24"/>
          <w:lang w:val="en-GB"/>
        </w:rPr>
        <w:t xml:space="preserve"> </w:t>
      </w:r>
    </w:p>
    <w:p w14:paraId="59F533D0" w14:textId="744C931A" w:rsidR="00964777" w:rsidRPr="008F79F1" w:rsidRDefault="00964777" w:rsidP="00964777">
      <w:pPr>
        <w:pStyle w:val="Paragraphedeliste"/>
        <w:numPr>
          <w:ilvl w:val="0"/>
          <w:numId w:val="27"/>
        </w:numPr>
        <w:spacing w:line="276" w:lineRule="auto"/>
        <w:jc w:val="both"/>
        <w:rPr>
          <w:rFonts w:ascii="Arial" w:hAnsi="Arial" w:cs="Arial"/>
          <w:sz w:val="24"/>
          <w:szCs w:val="24"/>
          <w:lang w:val="en-GB"/>
        </w:rPr>
      </w:pPr>
      <w:r w:rsidRPr="008F79F1">
        <w:rPr>
          <w:rFonts w:ascii="Arial" w:hAnsi="Arial" w:cs="Arial"/>
          <w:b/>
          <w:bCs/>
          <w:sz w:val="24"/>
          <w:szCs w:val="24"/>
          <w:lang w:val="en-GB"/>
        </w:rPr>
        <w:t>Plan a disability inclusion strategy or plan for the upcoming budgetary period</w:t>
      </w:r>
      <w:r w:rsidRPr="008F79F1">
        <w:rPr>
          <w:rFonts w:ascii="Arial" w:hAnsi="Arial" w:cs="Arial"/>
          <w:sz w:val="24"/>
          <w:szCs w:val="24"/>
          <w:lang w:val="en-GB"/>
        </w:rPr>
        <w:t>, detailing objectives and goals, with specific timeframes and indicators. Develop this strategy in close consultation with DPOs from the EU and outside the EU.</w:t>
      </w:r>
    </w:p>
    <w:p w14:paraId="774C554A" w14:textId="77777777" w:rsidR="00964777" w:rsidRPr="008F79F1" w:rsidRDefault="00964777" w:rsidP="00964777">
      <w:pPr>
        <w:pStyle w:val="Paragraphedeliste"/>
        <w:numPr>
          <w:ilvl w:val="0"/>
          <w:numId w:val="0"/>
        </w:numPr>
        <w:spacing w:line="276" w:lineRule="auto"/>
        <w:ind w:left="720"/>
        <w:jc w:val="both"/>
        <w:rPr>
          <w:rFonts w:ascii="Arial" w:hAnsi="Arial" w:cs="Arial"/>
          <w:sz w:val="24"/>
          <w:szCs w:val="24"/>
          <w:lang w:val="en-GB"/>
        </w:rPr>
      </w:pPr>
    </w:p>
    <w:p w14:paraId="06E89FA7" w14:textId="0A78C3CD" w:rsidR="00964777" w:rsidRPr="008F79F1" w:rsidRDefault="00964777" w:rsidP="00964777">
      <w:pPr>
        <w:pStyle w:val="Paragraphedeliste"/>
        <w:numPr>
          <w:ilvl w:val="0"/>
          <w:numId w:val="27"/>
        </w:numPr>
        <w:spacing w:line="276" w:lineRule="auto"/>
        <w:jc w:val="both"/>
        <w:rPr>
          <w:rFonts w:ascii="Arial" w:hAnsi="Arial" w:cs="Arial"/>
          <w:sz w:val="24"/>
          <w:szCs w:val="24"/>
          <w:lang w:val="en-GB"/>
        </w:rPr>
      </w:pPr>
      <w:r w:rsidRPr="008F79F1">
        <w:rPr>
          <w:rFonts w:ascii="Arial" w:hAnsi="Arial" w:cs="Arial"/>
          <w:b/>
          <w:bCs/>
          <w:sz w:val="24"/>
          <w:szCs w:val="24"/>
          <w:lang w:val="en-GB"/>
        </w:rPr>
        <w:t>Ensure there is dedicated funding for the development of community-based services that enable independent living</w:t>
      </w:r>
      <w:r w:rsidR="00091EE4" w:rsidRPr="008F79F1">
        <w:rPr>
          <w:rFonts w:ascii="Arial" w:hAnsi="Arial" w:cs="Arial"/>
          <w:b/>
          <w:bCs/>
          <w:sz w:val="24"/>
          <w:szCs w:val="24"/>
          <w:lang w:val="en-GB"/>
        </w:rPr>
        <w:t xml:space="preserve"> of persons with disabilities</w:t>
      </w:r>
      <w:r w:rsidRPr="008F79F1">
        <w:rPr>
          <w:rFonts w:ascii="Arial" w:hAnsi="Arial" w:cs="Arial"/>
          <w:sz w:val="24"/>
          <w:szCs w:val="24"/>
          <w:lang w:val="en-GB"/>
        </w:rPr>
        <w:t xml:space="preserve">, such as personal assistance, and for making mainstream services accessible. Refer to the UNCRPD, its General Comments, the CRPD Committee’s Guidelines on deinstitutionalisations and the Commission’s Guidance on independent living when </w:t>
      </w:r>
      <w:r w:rsidR="00091EE4" w:rsidRPr="008F79F1">
        <w:rPr>
          <w:rFonts w:ascii="Arial" w:hAnsi="Arial" w:cs="Arial"/>
          <w:sz w:val="24"/>
          <w:szCs w:val="24"/>
          <w:lang w:val="en-GB"/>
        </w:rPr>
        <w:t>putting together a list of measures that should be funded.</w:t>
      </w:r>
    </w:p>
    <w:p w14:paraId="25417042" w14:textId="77777777" w:rsidR="00964777" w:rsidRPr="008F79F1" w:rsidRDefault="00964777" w:rsidP="00964777">
      <w:pPr>
        <w:pStyle w:val="Paragraphedeliste"/>
        <w:numPr>
          <w:ilvl w:val="0"/>
          <w:numId w:val="0"/>
        </w:numPr>
        <w:ind w:left="1440"/>
        <w:rPr>
          <w:rFonts w:ascii="Arial" w:hAnsi="Arial" w:cs="Arial"/>
          <w:sz w:val="24"/>
          <w:szCs w:val="24"/>
          <w:lang w:val="en-GB"/>
        </w:rPr>
      </w:pPr>
    </w:p>
    <w:p w14:paraId="10DB82E5" w14:textId="15C824C9" w:rsidR="00ED2843" w:rsidRPr="008F79F1" w:rsidRDefault="00ED2843" w:rsidP="00091EE4">
      <w:pPr>
        <w:pStyle w:val="Paragraphedeliste"/>
        <w:numPr>
          <w:ilvl w:val="0"/>
          <w:numId w:val="27"/>
        </w:numPr>
        <w:spacing w:line="276" w:lineRule="auto"/>
        <w:jc w:val="both"/>
        <w:rPr>
          <w:rFonts w:ascii="Arial" w:hAnsi="Arial" w:cs="Arial"/>
          <w:sz w:val="24"/>
          <w:szCs w:val="24"/>
          <w:lang w:val="en-GB"/>
        </w:rPr>
      </w:pPr>
      <w:r w:rsidRPr="008F79F1">
        <w:rPr>
          <w:rFonts w:ascii="Arial" w:hAnsi="Arial" w:cs="Arial"/>
          <w:b/>
          <w:bCs/>
          <w:sz w:val="24"/>
          <w:szCs w:val="24"/>
          <w:lang w:val="en-GB"/>
        </w:rPr>
        <w:t>Include safeguards</w:t>
      </w:r>
      <w:r w:rsidR="00964777" w:rsidRPr="008F79F1">
        <w:rPr>
          <w:rFonts w:ascii="Arial" w:hAnsi="Arial" w:cs="Arial"/>
          <w:b/>
          <w:bCs/>
          <w:sz w:val="24"/>
          <w:szCs w:val="24"/>
          <w:lang w:val="en-GB"/>
        </w:rPr>
        <w:t xml:space="preserve"> into the fund specific regulations and any accompanying documents or strategies for the EU’s external action</w:t>
      </w:r>
      <w:r w:rsidR="00964777" w:rsidRPr="008F79F1">
        <w:rPr>
          <w:rFonts w:ascii="Arial" w:hAnsi="Arial" w:cs="Arial"/>
          <w:sz w:val="24"/>
          <w:szCs w:val="24"/>
          <w:lang w:val="en-GB"/>
        </w:rPr>
        <w:t>, in order</w:t>
      </w:r>
      <w:r w:rsidRPr="008F79F1">
        <w:rPr>
          <w:rFonts w:ascii="Arial" w:hAnsi="Arial" w:cs="Arial"/>
          <w:sz w:val="24"/>
          <w:szCs w:val="24"/>
          <w:lang w:val="en-GB"/>
        </w:rPr>
        <w:t xml:space="preserve"> to</w:t>
      </w:r>
      <w:r w:rsidR="00964777" w:rsidRPr="008F79F1">
        <w:rPr>
          <w:rFonts w:ascii="Arial" w:hAnsi="Arial" w:cs="Arial"/>
          <w:sz w:val="24"/>
          <w:szCs w:val="24"/>
          <w:lang w:val="en-GB"/>
        </w:rPr>
        <w:t xml:space="preserve"> </w:t>
      </w:r>
      <w:r w:rsidRPr="008F79F1">
        <w:rPr>
          <w:rFonts w:ascii="Arial" w:hAnsi="Arial" w:cs="Arial"/>
          <w:sz w:val="24"/>
          <w:szCs w:val="24"/>
          <w:lang w:val="en-GB"/>
        </w:rPr>
        <w:t xml:space="preserve">prevent investments in segregated settings for </w:t>
      </w:r>
      <w:r w:rsidR="00964777" w:rsidRPr="008F79F1">
        <w:rPr>
          <w:rFonts w:ascii="Arial" w:hAnsi="Arial" w:cs="Arial"/>
          <w:sz w:val="24"/>
          <w:szCs w:val="24"/>
          <w:lang w:val="en-GB"/>
        </w:rPr>
        <w:t>persons with disabilities</w:t>
      </w:r>
      <w:r w:rsidRPr="008F79F1">
        <w:rPr>
          <w:rFonts w:ascii="Arial" w:hAnsi="Arial" w:cs="Arial"/>
          <w:sz w:val="24"/>
          <w:szCs w:val="24"/>
          <w:lang w:val="en-GB"/>
        </w:rPr>
        <w:t>.</w:t>
      </w:r>
      <w:r w:rsidR="00964777" w:rsidRPr="008F79F1">
        <w:rPr>
          <w:rFonts w:ascii="Arial" w:hAnsi="Arial" w:cs="Arial"/>
          <w:sz w:val="24"/>
          <w:szCs w:val="24"/>
          <w:lang w:val="en-GB"/>
        </w:rPr>
        <w:t xml:space="preserve"> Such safeguards can include a prohibition of investing in institutions, clear definitions based on the UNCRPD and the use of sanctions.</w:t>
      </w:r>
      <w:r w:rsidRPr="008F79F1">
        <w:rPr>
          <w:rFonts w:ascii="Arial" w:hAnsi="Arial" w:cs="Arial"/>
          <w:sz w:val="24"/>
          <w:szCs w:val="24"/>
          <w:lang w:val="en-GB"/>
        </w:rPr>
        <w:t xml:space="preserve"> Involve </w:t>
      </w:r>
      <w:r w:rsidR="00964777" w:rsidRPr="008F79F1">
        <w:rPr>
          <w:rFonts w:ascii="Arial" w:hAnsi="Arial" w:cs="Arial"/>
          <w:sz w:val="24"/>
          <w:szCs w:val="24"/>
          <w:lang w:val="en-GB"/>
        </w:rPr>
        <w:t>persons with disabilities</w:t>
      </w:r>
      <w:r w:rsidRPr="008F79F1">
        <w:rPr>
          <w:rFonts w:ascii="Arial" w:hAnsi="Arial" w:cs="Arial"/>
          <w:sz w:val="24"/>
          <w:szCs w:val="24"/>
          <w:lang w:val="en-GB"/>
        </w:rPr>
        <w:t xml:space="preserve"> through the whole programming cycles, as equal partners in the process. </w:t>
      </w:r>
    </w:p>
    <w:p w14:paraId="65822134" w14:textId="5FA3897A" w:rsidR="00C727CD" w:rsidRPr="008F79F1" w:rsidRDefault="00551E40" w:rsidP="00694DFA">
      <w:pPr>
        <w:pStyle w:val="Titre2"/>
        <w:spacing w:line="276" w:lineRule="auto"/>
        <w:jc w:val="both"/>
        <w:rPr>
          <w:lang w:val="en-GB"/>
        </w:rPr>
      </w:pPr>
      <w:bookmarkStart w:id="7" w:name="_Toc196926856"/>
      <w:r w:rsidRPr="008F79F1">
        <w:rPr>
          <w:lang w:val="en-GB"/>
        </w:rPr>
        <w:lastRenderedPageBreak/>
        <w:t>Improve</w:t>
      </w:r>
      <w:r w:rsidR="008D6059" w:rsidRPr="008F79F1">
        <w:rPr>
          <w:lang w:val="en-GB"/>
        </w:rPr>
        <w:t xml:space="preserve"> transparency and</w:t>
      </w:r>
      <w:r w:rsidRPr="008F79F1">
        <w:rPr>
          <w:lang w:val="en-GB"/>
        </w:rPr>
        <w:t xml:space="preserve"> prohibit</w:t>
      </w:r>
      <w:r w:rsidR="008D6059" w:rsidRPr="008F79F1">
        <w:rPr>
          <w:lang w:val="en-GB"/>
        </w:rPr>
        <w:t xml:space="preserve"> investments in institutions under the Recovery </w:t>
      </w:r>
      <w:r w:rsidR="00091EE4" w:rsidRPr="008F79F1">
        <w:rPr>
          <w:lang w:val="en-GB"/>
        </w:rPr>
        <w:t>and</w:t>
      </w:r>
      <w:r w:rsidR="008D6059" w:rsidRPr="008F79F1">
        <w:rPr>
          <w:lang w:val="en-GB"/>
        </w:rPr>
        <w:t xml:space="preserve"> Resilience Facility</w:t>
      </w:r>
      <w:bookmarkEnd w:id="7"/>
    </w:p>
    <w:p w14:paraId="3A53D9B6" w14:textId="4308100A" w:rsidR="000C18A5" w:rsidRPr="008F79F1" w:rsidRDefault="00091EE4" w:rsidP="00694DFA">
      <w:pPr>
        <w:spacing w:line="276" w:lineRule="auto"/>
        <w:jc w:val="both"/>
        <w:rPr>
          <w:rFonts w:ascii="Arial" w:hAnsi="Arial" w:cs="Arial"/>
          <w:sz w:val="24"/>
          <w:szCs w:val="24"/>
          <w:lang w:val="en-GB"/>
        </w:rPr>
      </w:pPr>
      <w:r w:rsidRPr="008F79F1">
        <w:rPr>
          <w:rFonts w:ascii="Arial" w:hAnsi="Arial" w:cs="Arial"/>
          <w:sz w:val="24"/>
          <w:szCs w:val="24"/>
          <w:lang w:val="en-GB"/>
        </w:rPr>
        <w:t xml:space="preserve">As a temporary instrument to help the Member States recover after the COVID-19 pandemic, the </w:t>
      </w:r>
      <w:r w:rsidR="00C727CD" w:rsidRPr="008F79F1">
        <w:rPr>
          <w:rFonts w:ascii="Arial" w:hAnsi="Arial" w:cs="Arial"/>
          <w:sz w:val="24"/>
          <w:szCs w:val="24"/>
          <w:lang w:val="en-GB"/>
        </w:rPr>
        <w:t xml:space="preserve">Recovery </w:t>
      </w:r>
      <w:r w:rsidRPr="008F79F1">
        <w:rPr>
          <w:rFonts w:ascii="Arial" w:hAnsi="Arial" w:cs="Arial"/>
          <w:sz w:val="24"/>
          <w:szCs w:val="24"/>
          <w:lang w:val="en-GB"/>
        </w:rPr>
        <w:t>and</w:t>
      </w:r>
      <w:r w:rsidR="00C727CD" w:rsidRPr="008F79F1">
        <w:rPr>
          <w:rFonts w:ascii="Arial" w:hAnsi="Arial" w:cs="Arial"/>
          <w:sz w:val="24"/>
          <w:szCs w:val="24"/>
          <w:lang w:val="en-GB"/>
        </w:rPr>
        <w:t xml:space="preserve"> Resilience Facility (RRF) </w:t>
      </w:r>
      <w:r w:rsidRPr="008F79F1">
        <w:rPr>
          <w:rFonts w:ascii="Arial" w:hAnsi="Arial" w:cs="Arial"/>
          <w:sz w:val="24"/>
          <w:szCs w:val="24"/>
          <w:lang w:val="en-GB"/>
        </w:rPr>
        <w:t xml:space="preserve">came with simplified rules and procedures, giving Member States the freedom to use the funds faster and without much scrutiny. </w:t>
      </w:r>
      <w:r w:rsidR="000C18A5" w:rsidRPr="008F79F1">
        <w:rPr>
          <w:rFonts w:ascii="Arial" w:hAnsi="Arial" w:cs="Arial"/>
          <w:sz w:val="24"/>
          <w:szCs w:val="24"/>
          <w:lang w:val="en-GB"/>
        </w:rPr>
        <w:t xml:space="preserve">Unlike the Cohesion Policy instruments, the RRF regulation did not include any conditions linked to the UNCRPD or the EU Charter on Fundamental Rights. </w:t>
      </w:r>
    </w:p>
    <w:p w14:paraId="7CC264BD" w14:textId="77777777" w:rsidR="000C18A5" w:rsidRPr="008F79F1" w:rsidRDefault="000C18A5" w:rsidP="00694DFA">
      <w:pPr>
        <w:spacing w:line="276" w:lineRule="auto"/>
        <w:jc w:val="both"/>
        <w:rPr>
          <w:rFonts w:ascii="Arial" w:hAnsi="Arial" w:cs="Arial"/>
          <w:sz w:val="24"/>
          <w:szCs w:val="24"/>
          <w:lang w:val="en-GB"/>
        </w:rPr>
      </w:pPr>
      <w:r w:rsidRPr="008F79F1">
        <w:rPr>
          <w:rFonts w:ascii="Arial" w:hAnsi="Arial" w:cs="Arial"/>
          <w:sz w:val="24"/>
          <w:szCs w:val="24"/>
          <w:lang w:val="en-GB"/>
        </w:rPr>
        <w:t>This</w:t>
      </w:r>
      <w:r w:rsidR="00091EE4" w:rsidRPr="008F79F1">
        <w:rPr>
          <w:rFonts w:ascii="Arial" w:hAnsi="Arial" w:cs="Arial"/>
          <w:sz w:val="24"/>
          <w:szCs w:val="24"/>
          <w:lang w:val="en-GB"/>
        </w:rPr>
        <w:t xml:space="preserve"> has led to the European Ombudsman’s strategic initiative looking into transparency in the implementation and accountability mechanisms in the context of RFF, finalised in September 2023</w:t>
      </w:r>
      <w:r w:rsidR="00091EE4" w:rsidRPr="008F79F1">
        <w:rPr>
          <w:rStyle w:val="Appelnotedebasdep"/>
          <w:rFonts w:ascii="Arial" w:hAnsi="Arial" w:cs="Arial"/>
          <w:sz w:val="24"/>
          <w:szCs w:val="24"/>
          <w:lang w:val="en-GB"/>
        </w:rPr>
        <w:footnoteReference w:id="24"/>
      </w:r>
      <w:r w:rsidR="00091EE4" w:rsidRPr="008F79F1">
        <w:rPr>
          <w:rFonts w:ascii="Arial" w:hAnsi="Arial" w:cs="Arial"/>
          <w:sz w:val="24"/>
          <w:szCs w:val="24"/>
          <w:lang w:val="en-GB"/>
        </w:rPr>
        <w:t xml:space="preserve">. In its decision, the Ombudsman set out a number of recommendations, including </w:t>
      </w:r>
      <w:r w:rsidRPr="008F79F1">
        <w:rPr>
          <w:rFonts w:ascii="Arial" w:hAnsi="Arial" w:cs="Arial"/>
          <w:sz w:val="24"/>
          <w:szCs w:val="24"/>
          <w:lang w:val="en-GB"/>
        </w:rPr>
        <w:t xml:space="preserve">that: </w:t>
      </w:r>
    </w:p>
    <w:p w14:paraId="4C40AD91" w14:textId="2D2EF038" w:rsidR="00C727CD" w:rsidRPr="008F79F1" w:rsidRDefault="000C18A5" w:rsidP="000C18A5">
      <w:pPr>
        <w:spacing w:line="276" w:lineRule="auto"/>
        <w:ind w:left="708"/>
        <w:jc w:val="both"/>
        <w:rPr>
          <w:rFonts w:ascii="Arial" w:hAnsi="Arial" w:cs="Arial"/>
          <w:sz w:val="24"/>
          <w:szCs w:val="24"/>
          <w:lang w:val="en-GB"/>
        </w:rPr>
      </w:pPr>
      <w:r w:rsidRPr="008F79F1">
        <w:rPr>
          <w:rFonts w:ascii="Arial" w:hAnsi="Arial" w:cs="Arial"/>
          <w:sz w:val="24"/>
          <w:szCs w:val="24"/>
          <w:lang w:val="en-GB"/>
        </w:rPr>
        <w:t>“Member States in cooperation with the Commission could improve the ability of stakeholders to monitor the impact of projects and to protect the financial interests of the EU.”</w:t>
      </w:r>
      <w:r w:rsidRPr="008F79F1">
        <w:rPr>
          <w:rStyle w:val="Appelnotedebasdep"/>
          <w:rFonts w:ascii="Arial" w:hAnsi="Arial" w:cs="Arial"/>
          <w:sz w:val="24"/>
          <w:szCs w:val="24"/>
          <w:lang w:val="en-GB"/>
        </w:rPr>
        <w:footnoteReference w:id="25"/>
      </w:r>
    </w:p>
    <w:p w14:paraId="2F3EA48E" w14:textId="5A908A6C" w:rsidR="000C18A5" w:rsidRPr="008F79F1" w:rsidRDefault="000C18A5" w:rsidP="000C18A5">
      <w:pPr>
        <w:spacing w:line="276" w:lineRule="auto"/>
        <w:jc w:val="both"/>
        <w:rPr>
          <w:rFonts w:ascii="Arial" w:hAnsi="Arial" w:cs="Arial"/>
          <w:sz w:val="24"/>
          <w:szCs w:val="24"/>
          <w:lang w:val="en-GB"/>
        </w:rPr>
      </w:pPr>
      <w:r w:rsidRPr="008F79F1">
        <w:rPr>
          <w:rFonts w:ascii="Arial" w:hAnsi="Arial" w:cs="Arial"/>
          <w:sz w:val="24"/>
          <w:szCs w:val="24"/>
          <w:lang w:val="en-GB"/>
        </w:rPr>
        <w:t>The European Court of Audits</w:t>
      </w:r>
      <w:r w:rsidRPr="008F79F1">
        <w:rPr>
          <w:rFonts w:ascii="Arial" w:hAnsi="Arial" w:cs="Arial"/>
          <w:color w:val="1154CC"/>
          <w:sz w:val="24"/>
          <w:szCs w:val="24"/>
          <w:u w:val="single" w:color="1154CC"/>
          <w:lang w:val="en-GB"/>
        </w:rPr>
        <w:t xml:space="preserve"> </w:t>
      </w:r>
      <w:r w:rsidRPr="008F79F1">
        <w:rPr>
          <w:rFonts w:ascii="Arial" w:hAnsi="Arial" w:cs="Arial"/>
          <w:sz w:val="24"/>
          <w:szCs w:val="24"/>
          <w:lang w:val="en-GB"/>
        </w:rPr>
        <w:t>has also raised the alarm about the lack of transparency in the investments.</w:t>
      </w:r>
      <w:r w:rsidRPr="008F79F1">
        <w:rPr>
          <w:rStyle w:val="Appelnotedebasdep"/>
          <w:rFonts w:ascii="Arial" w:hAnsi="Arial" w:cs="Arial"/>
          <w:sz w:val="24"/>
          <w:szCs w:val="24"/>
          <w:lang w:val="en-GB"/>
        </w:rPr>
        <w:footnoteReference w:id="26"/>
      </w:r>
    </w:p>
    <w:p w14:paraId="6C04FC4A" w14:textId="2F4BB1D4" w:rsidR="00C727CD" w:rsidRPr="008F79F1" w:rsidRDefault="00C727CD" w:rsidP="00694DFA">
      <w:pPr>
        <w:pStyle w:val="Corpsdetexte"/>
        <w:spacing w:before="81" w:after="240" w:line="276" w:lineRule="auto"/>
        <w:ind w:right="377"/>
        <w:jc w:val="both"/>
        <w:rPr>
          <w:rFonts w:ascii="Arial" w:hAnsi="Arial" w:cs="Arial"/>
          <w:lang w:val="en-GB"/>
        </w:rPr>
      </w:pPr>
      <w:r w:rsidRPr="008F79F1">
        <w:rPr>
          <w:rFonts w:ascii="Arial" w:hAnsi="Arial" w:cs="Arial"/>
          <w:lang w:val="en-GB"/>
        </w:rPr>
        <w:t xml:space="preserve">Despite this lack of transparency and the difficulties in monitoring how RRF is used, </w:t>
      </w:r>
      <w:r w:rsidR="000C18A5" w:rsidRPr="008F79F1">
        <w:rPr>
          <w:rFonts w:ascii="Arial" w:hAnsi="Arial" w:cs="Arial"/>
          <w:lang w:val="en-GB"/>
        </w:rPr>
        <w:t>ENIL has recorded investments into segregated settings for persons with disabilities, in violation of the UNCRPD</w:t>
      </w:r>
      <w:r w:rsidRPr="008F79F1">
        <w:rPr>
          <w:rFonts w:ascii="Arial" w:hAnsi="Arial" w:cs="Arial"/>
          <w:lang w:val="en-GB"/>
        </w:rPr>
        <w:t xml:space="preserve">. </w:t>
      </w:r>
      <w:r w:rsidR="000C18A5" w:rsidRPr="008F79F1">
        <w:rPr>
          <w:rFonts w:ascii="Arial" w:hAnsi="Arial" w:cs="Arial"/>
          <w:lang w:val="en-GB"/>
        </w:rPr>
        <w:t>For example</w:t>
      </w:r>
      <w:r w:rsidRPr="008F79F1">
        <w:rPr>
          <w:rFonts w:ascii="Arial" w:hAnsi="Arial" w:cs="Arial"/>
          <w:lang w:val="en-GB"/>
        </w:rPr>
        <w:t>, an</w:t>
      </w:r>
      <w:r w:rsidR="002731A5" w:rsidRPr="008F79F1">
        <w:rPr>
          <w:rFonts w:ascii="Arial" w:hAnsi="Arial" w:cs="Arial"/>
          <w:lang w:val="en-GB"/>
        </w:rPr>
        <w:t xml:space="preserve"> investment of almost 16 million Euros</w:t>
      </w:r>
      <w:r w:rsidRPr="008F79F1">
        <w:rPr>
          <w:rFonts w:ascii="Arial" w:hAnsi="Arial" w:cs="Arial"/>
          <w:lang w:val="en-GB"/>
        </w:rPr>
        <w:t xml:space="preserve"> was approved for the building of 15 institutions and day-care </w:t>
      </w:r>
      <w:proofErr w:type="spellStart"/>
      <w:r w:rsidRPr="008F79F1">
        <w:rPr>
          <w:rFonts w:ascii="Arial" w:hAnsi="Arial" w:cs="Arial"/>
          <w:lang w:val="en-GB"/>
        </w:rPr>
        <w:t>centers</w:t>
      </w:r>
      <w:proofErr w:type="spellEnd"/>
      <w:r w:rsidRPr="008F79F1">
        <w:rPr>
          <w:rFonts w:ascii="Arial" w:hAnsi="Arial" w:cs="Arial"/>
          <w:lang w:val="en-GB"/>
        </w:rPr>
        <w:t xml:space="preserve"> for </w:t>
      </w:r>
      <w:r w:rsidR="000C18A5" w:rsidRPr="008F79F1">
        <w:rPr>
          <w:rFonts w:ascii="Arial" w:hAnsi="Arial" w:cs="Arial"/>
          <w:lang w:val="en-GB"/>
        </w:rPr>
        <w:t xml:space="preserve">persons with disabilities and </w:t>
      </w:r>
      <w:r w:rsidRPr="008F79F1">
        <w:rPr>
          <w:rFonts w:ascii="Arial" w:hAnsi="Arial" w:cs="Arial"/>
          <w:lang w:val="en-GB"/>
        </w:rPr>
        <w:t>older people in the Spanish region of Malaga.</w:t>
      </w:r>
      <w:r w:rsidR="002731A5" w:rsidRPr="008F79F1">
        <w:rPr>
          <w:rStyle w:val="Appelnotedebasdep"/>
          <w:rFonts w:ascii="Arial" w:hAnsi="Arial" w:cs="Arial"/>
          <w:lang w:val="en-GB"/>
        </w:rPr>
        <w:footnoteReference w:id="27"/>
      </w:r>
      <w:r w:rsidRPr="008F79F1">
        <w:rPr>
          <w:rFonts w:ascii="Arial" w:hAnsi="Arial" w:cs="Arial"/>
          <w:lang w:val="en-GB"/>
        </w:rPr>
        <w:t xml:space="preserve"> In Bulgaria, RRF </w:t>
      </w:r>
      <w:r w:rsidR="002731A5" w:rsidRPr="008F79F1">
        <w:rPr>
          <w:rFonts w:ascii="Arial" w:hAnsi="Arial" w:cs="Arial"/>
          <w:lang w:val="en-GB"/>
        </w:rPr>
        <w:t>is being</w:t>
      </w:r>
      <w:r w:rsidRPr="008F79F1">
        <w:rPr>
          <w:rFonts w:ascii="Arial" w:hAnsi="Arial" w:cs="Arial"/>
          <w:lang w:val="en-GB"/>
        </w:rPr>
        <w:t xml:space="preserve"> used to fund 250 new long-term care facilities - 125 for residential care and 125</w:t>
      </w:r>
      <w:r w:rsidRPr="008F79F1">
        <w:rPr>
          <w:rFonts w:ascii="Arial" w:hAnsi="Arial" w:cs="Arial"/>
          <w:spacing w:val="-11"/>
          <w:lang w:val="en-GB"/>
        </w:rPr>
        <w:t xml:space="preserve"> </w:t>
      </w:r>
      <w:r w:rsidRPr="008F79F1">
        <w:rPr>
          <w:rFonts w:ascii="Arial" w:hAnsi="Arial" w:cs="Arial"/>
          <w:lang w:val="en-GB"/>
        </w:rPr>
        <w:t>for</w:t>
      </w:r>
      <w:r w:rsidRPr="008F79F1">
        <w:rPr>
          <w:rFonts w:ascii="Arial" w:hAnsi="Arial" w:cs="Arial"/>
          <w:spacing w:val="-10"/>
          <w:lang w:val="en-GB"/>
        </w:rPr>
        <w:t xml:space="preserve"> </w:t>
      </w:r>
      <w:r w:rsidRPr="008F79F1">
        <w:rPr>
          <w:rFonts w:ascii="Arial" w:hAnsi="Arial" w:cs="Arial"/>
          <w:lang w:val="en-GB"/>
        </w:rPr>
        <w:t>day</w:t>
      </w:r>
      <w:r w:rsidRPr="008F79F1">
        <w:rPr>
          <w:rFonts w:ascii="Arial" w:hAnsi="Arial" w:cs="Arial"/>
          <w:spacing w:val="-9"/>
          <w:lang w:val="en-GB"/>
        </w:rPr>
        <w:t xml:space="preserve"> </w:t>
      </w:r>
      <w:r w:rsidRPr="008F79F1">
        <w:rPr>
          <w:rFonts w:ascii="Arial" w:hAnsi="Arial" w:cs="Arial"/>
          <w:lang w:val="en-GB"/>
        </w:rPr>
        <w:t>care,</w:t>
      </w:r>
      <w:r w:rsidRPr="008F79F1">
        <w:rPr>
          <w:rFonts w:ascii="Arial" w:hAnsi="Arial" w:cs="Arial"/>
          <w:spacing w:val="-11"/>
          <w:lang w:val="en-GB"/>
        </w:rPr>
        <w:t xml:space="preserve"> </w:t>
      </w:r>
      <w:r w:rsidRPr="008F79F1">
        <w:rPr>
          <w:rFonts w:ascii="Arial" w:hAnsi="Arial" w:cs="Arial"/>
          <w:lang w:val="en-GB"/>
        </w:rPr>
        <w:t>for</w:t>
      </w:r>
      <w:r w:rsidRPr="008F79F1">
        <w:rPr>
          <w:rFonts w:ascii="Arial" w:hAnsi="Arial" w:cs="Arial"/>
          <w:spacing w:val="-10"/>
          <w:lang w:val="en-GB"/>
        </w:rPr>
        <w:t xml:space="preserve"> </w:t>
      </w:r>
      <w:r w:rsidR="002731A5" w:rsidRPr="008F79F1">
        <w:rPr>
          <w:rFonts w:ascii="Arial" w:hAnsi="Arial" w:cs="Arial"/>
          <w:lang w:val="en-GB"/>
        </w:rPr>
        <w:t>persons with disabilities</w:t>
      </w:r>
      <w:r w:rsidRPr="008F79F1">
        <w:rPr>
          <w:rFonts w:ascii="Arial" w:hAnsi="Arial" w:cs="Arial"/>
          <w:lang w:val="en-GB"/>
        </w:rPr>
        <w:t>;</w:t>
      </w:r>
      <w:r w:rsidRPr="008F79F1">
        <w:rPr>
          <w:rFonts w:ascii="Arial" w:hAnsi="Arial" w:cs="Arial"/>
          <w:spacing w:val="-11"/>
          <w:lang w:val="en-GB"/>
        </w:rPr>
        <w:t xml:space="preserve"> </w:t>
      </w:r>
      <w:r w:rsidRPr="008F79F1">
        <w:rPr>
          <w:rFonts w:ascii="Arial" w:hAnsi="Arial" w:cs="Arial"/>
          <w:lang w:val="en-GB"/>
        </w:rPr>
        <w:t>the</w:t>
      </w:r>
      <w:r w:rsidRPr="008F79F1">
        <w:rPr>
          <w:rFonts w:ascii="Arial" w:hAnsi="Arial" w:cs="Arial"/>
          <w:spacing w:val="-11"/>
          <w:lang w:val="en-GB"/>
        </w:rPr>
        <w:t xml:space="preserve"> </w:t>
      </w:r>
      <w:r w:rsidRPr="008F79F1">
        <w:rPr>
          <w:rFonts w:ascii="Arial" w:hAnsi="Arial" w:cs="Arial"/>
          <w:lang w:val="en-GB"/>
        </w:rPr>
        <w:t>renovation</w:t>
      </w:r>
      <w:r w:rsidRPr="008F79F1">
        <w:rPr>
          <w:rFonts w:ascii="Arial" w:hAnsi="Arial" w:cs="Arial"/>
          <w:spacing w:val="-8"/>
          <w:lang w:val="en-GB"/>
        </w:rPr>
        <w:t xml:space="preserve"> </w:t>
      </w:r>
      <w:r w:rsidRPr="008F79F1">
        <w:rPr>
          <w:rFonts w:ascii="Arial" w:hAnsi="Arial" w:cs="Arial"/>
          <w:lang w:val="en-GB"/>
        </w:rPr>
        <w:t>of</w:t>
      </w:r>
      <w:r w:rsidRPr="008F79F1">
        <w:rPr>
          <w:rFonts w:ascii="Arial" w:hAnsi="Arial" w:cs="Arial"/>
          <w:spacing w:val="-11"/>
          <w:lang w:val="en-GB"/>
        </w:rPr>
        <w:t xml:space="preserve"> </w:t>
      </w:r>
      <w:r w:rsidRPr="008F79F1">
        <w:rPr>
          <w:rFonts w:ascii="Arial" w:hAnsi="Arial" w:cs="Arial"/>
          <w:lang w:val="en-GB"/>
        </w:rPr>
        <w:t>82</w:t>
      </w:r>
      <w:r w:rsidRPr="008F79F1">
        <w:rPr>
          <w:rFonts w:ascii="Arial" w:hAnsi="Arial" w:cs="Arial"/>
          <w:spacing w:val="-11"/>
          <w:lang w:val="en-GB"/>
        </w:rPr>
        <w:t xml:space="preserve"> </w:t>
      </w:r>
      <w:r w:rsidRPr="008F79F1">
        <w:rPr>
          <w:rFonts w:ascii="Arial" w:hAnsi="Arial" w:cs="Arial"/>
          <w:lang w:val="en-GB"/>
        </w:rPr>
        <w:t>existing</w:t>
      </w:r>
      <w:r w:rsidRPr="008F79F1">
        <w:rPr>
          <w:rFonts w:ascii="Arial" w:hAnsi="Arial" w:cs="Arial"/>
          <w:spacing w:val="-10"/>
          <w:lang w:val="en-GB"/>
        </w:rPr>
        <w:t xml:space="preserve"> </w:t>
      </w:r>
      <w:r w:rsidRPr="008F79F1">
        <w:rPr>
          <w:rFonts w:ascii="Arial" w:hAnsi="Arial" w:cs="Arial"/>
          <w:lang w:val="en-GB"/>
        </w:rPr>
        <w:t>facilities</w:t>
      </w:r>
      <w:r w:rsidRPr="008F79F1">
        <w:rPr>
          <w:rFonts w:ascii="Arial" w:hAnsi="Arial" w:cs="Arial"/>
          <w:spacing w:val="-9"/>
          <w:lang w:val="en-GB"/>
        </w:rPr>
        <w:t xml:space="preserve"> </w:t>
      </w:r>
      <w:r w:rsidRPr="008F79F1">
        <w:rPr>
          <w:rFonts w:ascii="Arial" w:hAnsi="Arial" w:cs="Arial"/>
          <w:lang w:val="en-GB"/>
        </w:rPr>
        <w:t>for</w:t>
      </w:r>
      <w:r w:rsidRPr="008F79F1">
        <w:rPr>
          <w:rFonts w:ascii="Arial" w:hAnsi="Arial" w:cs="Arial"/>
          <w:spacing w:val="-10"/>
          <w:lang w:val="en-GB"/>
        </w:rPr>
        <w:t xml:space="preserve"> </w:t>
      </w:r>
      <w:r w:rsidRPr="008F79F1">
        <w:rPr>
          <w:rFonts w:ascii="Arial" w:hAnsi="Arial" w:cs="Arial"/>
          <w:lang w:val="en-GB"/>
        </w:rPr>
        <w:t>residential care</w:t>
      </w:r>
      <w:r w:rsidRPr="008F79F1">
        <w:rPr>
          <w:rFonts w:ascii="Arial" w:hAnsi="Arial" w:cs="Arial"/>
          <w:spacing w:val="-9"/>
          <w:lang w:val="en-GB"/>
        </w:rPr>
        <w:t xml:space="preserve"> </w:t>
      </w:r>
      <w:r w:rsidRPr="008F79F1">
        <w:rPr>
          <w:rFonts w:ascii="Arial" w:hAnsi="Arial" w:cs="Arial"/>
          <w:lang w:val="en-GB"/>
        </w:rPr>
        <w:t>for</w:t>
      </w:r>
      <w:r w:rsidRPr="008F79F1">
        <w:rPr>
          <w:rFonts w:ascii="Arial" w:hAnsi="Arial" w:cs="Arial"/>
          <w:spacing w:val="-10"/>
          <w:lang w:val="en-GB"/>
        </w:rPr>
        <w:t xml:space="preserve"> </w:t>
      </w:r>
      <w:r w:rsidRPr="008F79F1">
        <w:rPr>
          <w:rFonts w:ascii="Arial" w:hAnsi="Arial" w:cs="Arial"/>
          <w:lang w:val="en-GB"/>
        </w:rPr>
        <w:t>older</w:t>
      </w:r>
      <w:r w:rsidRPr="008F79F1">
        <w:rPr>
          <w:rFonts w:ascii="Arial" w:hAnsi="Arial" w:cs="Arial"/>
          <w:spacing w:val="-10"/>
          <w:lang w:val="en-GB"/>
        </w:rPr>
        <w:t xml:space="preserve"> </w:t>
      </w:r>
      <w:r w:rsidRPr="008F79F1">
        <w:rPr>
          <w:rFonts w:ascii="Arial" w:hAnsi="Arial" w:cs="Arial"/>
          <w:lang w:val="en-GB"/>
        </w:rPr>
        <w:t>people;</w:t>
      </w:r>
      <w:r w:rsidRPr="008F79F1">
        <w:rPr>
          <w:rFonts w:ascii="Arial" w:hAnsi="Arial" w:cs="Arial"/>
          <w:spacing w:val="-8"/>
          <w:lang w:val="en-GB"/>
        </w:rPr>
        <w:t xml:space="preserve"> </w:t>
      </w:r>
      <w:r w:rsidRPr="008F79F1">
        <w:rPr>
          <w:rFonts w:ascii="Arial" w:hAnsi="Arial" w:cs="Arial"/>
          <w:lang w:val="en-GB"/>
        </w:rPr>
        <w:t>energy</w:t>
      </w:r>
      <w:r w:rsidRPr="008F79F1">
        <w:rPr>
          <w:rFonts w:ascii="Arial" w:hAnsi="Arial" w:cs="Arial"/>
          <w:spacing w:val="-9"/>
          <w:lang w:val="en-GB"/>
        </w:rPr>
        <w:t xml:space="preserve"> </w:t>
      </w:r>
      <w:r w:rsidRPr="008F79F1">
        <w:rPr>
          <w:rFonts w:ascii="Arial" w:hAnsi="Arial" w:cs="Arial"/>
          <w:lang w:val="en-GB"/>
        </w:rPr>
        <w:t>efficiency</w:t>
      </w:r>
      <w:r w:rsidRPr="008F79F1">
        <w:rPr>
          <w:rFonts w:ascii="Arial" w:hAnsi="Arial" w:cs="Arial"/>
          <w:spacing w:val="-9"/>
          <w:lang w:val="en-GB"/>
        </w:rPr>
        <w:t xml:space="preserve"> </w:t>
      </w:r>
      <w:r w:rsidRPr="008F79F1">
        <w:rPr>
          <w:rFonts w:ascii="Arial" w:hAnsi="Arial" w:cs="Arial"/>
          <w:lang w:val="en-GB"/>
        </w:rPr>
        <w:t>renovations</w:t>
      </w:r>
      <w:r w:rsidRPr="008F79F1">
        <w:rPr>
          <w:rFonts w:ascii="Arial" w:hAnsi="Arial" w:cs="Arial"/>
          <w:spacing w:val="-9"/>
          <w:lang w:val="en-GB"/>
        </w:rPr>
        <w:t xml:space="preserve"> </w:t>
      </w:r>
      <w:r w:rsidRPr="008F79F1">
        <w:rPr>
          <w:rFonts w:ascii="Arial" w:hAnsi="Arial" w:cs="Arial"/>
          <w:lang w:val="en-GB"/>
        </w:rPr>
        <w:t>of</w:t>
      </w:r>
      <w:r w:rsidRPr="008F79F1">
        <w:rPr>
          <w:rFonts w:ascii="Arial" w:hAnsi="Arial" w:cs="Arial"/>
          <w:spacing w:val="-11"/>
          <w:lang w:val="en-GB"/>
        </w:rPr>
        <w:t xml:space="preserve"> </w:t>
      </w:r>
      <w:r w:rsidRPr="008F79F1">
        <w:rPr>
          <w:rFonts w:ascii="Arial" w:hAnsi="Arial" w:cs="Arial"/>
          <w:lang w:val="en-GB"/>
        </w:rPr>
        <w:t>840</w:t>
      </w:r>
      <w:r w:rsidRPr="008F79F1">
        <w:rPr>
          <w:rFonts w:ascii="Arial" w:hAnsi="Arial" w:cs="Arial"/>
          <w:spacing w:val="-8"/>
          <w:lang w:val="en-GB"/>
        </w:rPr>
        <w:t xml:space="preserve"> </w:t>
      </w:r>
      <w:r w:rsidRPr="008F79F1">
        <w:rPr>
          <w:rFonts w:ascii="Arial" w:hAnsi="Arial" w:cs="Arial"/>
          <w:lang w:val="en-GB"/>
        </w:rPr>
        <w:t>facilities</w:t>
      </w:r>
      <w:r w:rsidRPr="008F79F1">
        <w:rPr>
          <w:rFonts w:ascii="Arial" w:hAnsi="Arial" w:cs="Arial"/>
          <w:spacing w:val="-9"/>
          <w:lang w:val="en-GB"/>
        </w:rPr>
        <w:t xml:space="preserve"> </w:t>
      </w:r>
      <w:r w:rsidRPr="008F79F1">
        <w:rPr>
          <w:rFonts w:ascii="Arial" w:hAnsi="Arial" w:cs="Arial"/>
          <w:lang w:val="en-GB"/>
        </w:rPr>
        <w:t>for</w:t>
      </w:r>
      <w:r w:rsidRPr="008F79F1">
        <w:rPr>
          <w:rFonts w:ascii="Arial" w:hAnsi="Arial" w:cs="Arial"/>
          <w:spacing w:val="-10"/>
          <w:lang w:val="en-GB"/>
        </w:rPr>
        <w:t xml:space="preserve"> </w:t>
      </w:r>
      <w:r w:rsidRPr="008F79F1">
        <w:rPr>
          <w:rFonts w:ascii="Arial" w:hAnsi="Arial" w:cs="Arial"/>
          <w:lang w:val="en-GB"/>
        </w:rPr>
        <w:t>social</w:t>
      </w:r>
      <w:r w:rsidRPr="008F79F1">
        <w:rPr>
          <w:rFonts w:ascii="Arial" w:hAnsi="Arial" w:cs="Arial"/>
          <w:spacing w:val="-9"/>
          <w:lang w:val="en-GB"/>
        </w:rPr>
        <w:t xml:space="preserve"> </w:t>
      </w:r>
      <w:r w:rsidRPr="008F79F1">
        <w:rPr>
          <w:rFonts w:ascii="Arial" w:hAnsi="Arial" w:cs="Arial"/>
          <w:lang w:val="en-GB"/>
        </w:rPr>
        <w:t>services.</w:t>
      </w:r>
      <w:r w:rsidRPr="008F79F1">
        <w:rPr>
          <w:rFonts w:ascii="Arial" w:hAnsi="Arial" w:cs="Arial"/>
          <w:spacing w:val="75"/>
          <w:lang w:val="en-GB"/>
        </w:rPr>
        <w:t xml:space="preserve"> </w:t>
      </w:r>
      <w:r w:rsidRPr="008F79F1">
        <w:rPr>
          <w:rFonts w:ascii="Arial" w:hAnsi="Arial" w:cs="Arial"/>
          <w:lang w:val="en-GB"/>
        </w:rPr>
        <w:t>This</w:t>
      </w:r>
      <w:r w:rsidRPr="008F79F1">
        <w:rPr>
          <w:rFonts w:ascii="Arial" w:hAnsi="Arial" w:cs="Arial"/>
          <w:spacing w:val="74"/>
          <w:lang w:val="en-GB"/>
        </w:rPr>
        <w:t xml:space="preserve"> </w:t>
      </w:r>
      <w:r w:rsidR="002731A5" w:rsidRPr="008F79F1">
        <w:rPr>
          <w:rFonts w:ascii="Arial" w:hAnsi="Arial" w:cs="Arial"/>
          <w:lang w:val="en-GB"/>
        </w:rPr>
        <w:t>has been</w:t>
      </w:r>
      <w:r w:rsidRPr="008F79F1">
        <w:rPr>
          <w:rFonts w:ascii="Arial" w:hAnsi="Arial" w:cs="Arial"/>
          <w:spacing w:val="74"/>
          <w:lang w:val="en-GB"/>
        </w:rPr>
        <w:t xml:space="preserve"> </w:t>
      </w:r>
      <w:r w:rsidRPr="008F79F1">
        <w:rPr>
          <w:rFonts w:ascii="Arial" w:hAnsi="Arial" w:cs="Arial"/>
          <w:lang w:val="en-GB"/>
        </w:rPr>
        <w:t>described</w:t>
      </w:r>
      <w:r w:rsidRPr="008F79F1">
        <w:rPr>
          <w:rFonts w:ascii="Arial" w:hAnsi="Arial" w:cs="Arial"/>
          <w:spacing w:val="73"/>
          <w:lang w:val="en-GB"/>
        </w:rPr>
        <w:t xml:space="preserve"> </w:t>
      </w:r>
      <w:r w:rsidRPr="008F79F1">
        <w:rPr>
          <w:rFonts w:ascii="Arial" w:hAnsi="Arial" w:cs="Arial"/>
          <w:lang w:val="en-GB"/>
        </w:rPr>
        <w:t>as</w:t>
      </w:r>
      <w:r w:rsidRPr="008F79F1">
        <w:rPr>
          <w:rFonts w:ascii="Arial" w:hAnsi="Arial" w:cs="Arial"/>
          <w:spacing w:val="75"/>
          <w:lang w:val="en-GB"/>
        </w:rPr>
        <w:t xml:space="preserve"> </w:t>
      </w:r>
      <w:r w:rsidRPr="008F79F1">
        <w:rPr>
          <w:rFonts w:ascii="Arial" w:hAnsi="Arial" w:cs="Arial"/>
          <w:lang w:val="en-GB"/>
        </w:rPr>
        <w:t>“modernisation</w:t>
      </w:r>
      <w:r w:rsidRPr="008F79F1">
        <w:rPr>
          <w:rFonts w:ascii="Arial" w:hAnsi="Arial" w:cs="Arial"/>
          <w:spacing w:val="73"/>
          <w:lang w:val="en-GB"/>
        </w:rPr>
        <w:t xml:space="preserve"> </w:t>
      </w:r>
      <w:r w:rsidRPr="008F79F1">
        <w:rPr>
          <w:rFonts w:ascii="Arial" w:hAnsi="Arial" w:cs="Arial"/>
          <w:lang w:val="en-GB"/>
        </w:rPr>
        <w:t>of</w:t>
      </w:r>
      <w:r w:rsidRPr="008F79F1">
        <w:rPr>
          <w:rFonts w:ascii="Arial" w:hAnsi="Arial" w:cs="Arial"/>
          <w:spacing w:val="75"/>
          <w:lang w:val="en-GB"/>
        </w:rPr>
        <w:t xml:space="preserve"> </w:t>
      </w:r>
      <w:r w:rsidRPr="008F79F1">
        <w:rPr>
          <w:rFonts w:ascii="Arial" w:hAnsi="Arial" w:cs="Arial"/>
          <w:lang w:val="en-GB"/>
        </w:rPr>
        <w:t>long-term</w:t>
      </w:r>
      <w:r w:rsidRPr="008F79F1">
        <w:rPr>
          <w:rFonts w:ascii="Arial" w:hAnsi="Arial" w:cs="Arial"/>
          <w:spacing w:val="76"/>
          <w:lang w:val="en-GB"/>
        </w:rPr>
        <w:t xml:space="preserve"> </w:t>
      </w:r>
      <w:r w:rsidRPr="008F79F1">
        <w:rPr>
          <w:rFonts w:ascii="Arial" w:hAnsi="Arial" w:cs="Arial"/>
          <w:lang w:val="en-GB"/>
        </w:rPr>
        <w:t>care”</w:t>
      </w:r>
      <w:r w:rsidRPr="008F79F1">
        <w:rPr>
          <w:rFonts w:ascii="Arial" w:hAnsi="Arial" w:cs="Arial"/>
          <w:spacing w:val="72"/>
          <w:lang w:val="en-GB"/>
        </w:rPr>
        <w:t xml:space="preserve"> </w:t>
      </w:r>
      <w:r w:rsidRPr="008F79F1">
        <w:rPr>
          <w:rFonts w:ascii="Arial" w:hAnsi="Arial" w:cs="Arial"/>
          <w:lang w:val="en-GB"/>
        </w:rPr>
        <w:t>by</w:t>
      </w:r>
      <w:r w:rsidRPr="008F79F1">
        <w:rPr>
          <w:rFonts w:ascii="Arial" w:hAnsi="Arial" w:cs="Arial"/>
          <w:spacing w:val="75"/>
          <w:lang w:val="en-GB"/>
        </w:rPr>
        <w:t xml:space="preserve"> </w:t>
      </w:r>
      <w:r w:rsidRPr="008F79F1">
        <w:rPr>
          <w:rFonts w:ascii="Arial" w:hAnsi="Arial" w:cs="Arial"/>
          <w:lang w:val="en-GB"/>
        </w:rPr>
        <w:t xml:space="preserve">the </w:t>
      </w:r>
      <w:r w:rsidR="002731A5" w:rsidRPr="008F79F1">
        <w:rPr>
          <w:lang w:val="en-GB"/>
        </w:rPr>
        <w:t>European Commission.</w:t>
      </w:r>
      <w:r w:rsidR="002731A5" w:rsidRPr="008F79F1">
        <w:rPr>
          <w:rStyle w:val="Appelnotedebasdep"/>
          <w:lang w:val="en-GB"/>
        </w:rPr>
        <w:footnoteReference w:id="28"/>
      </w:r>
      <w:r w:rsidRPr="008F79F1">
        <w:rPr>
          <w:rFonts w:ascii="Arial" w:hAnsi="Arial" w:cs="Arial"/>
          <w:lang w:val="en-GB"/>
        </w:rPr>
        <w:t xml:space="preserve"> In </w:t>
      </w:r>
      <w:r w:rsidR="002731A5" w:rsidRPr="008F79F1">
        <w:rPr>
          <w:lang w:val="en-GB"/>
        </w:rPr>
        <w:t>Croatia,</w:t>
      </w:r>
      <w:r w:rsidRPr="008F79F1">
        <w:rPr>
          <w:rFonts w:ascii="Arial" w:hAnsi="Arial" w:cs="Arial"/>
          <w:lang w:val="en-GB"/>
        </w:rPr>
        <w:t xml:space="preserve"> 8 new institutions for older people will be funded through RRF, with an amount of 49 mil Euros.</w:t>
      </w:r>
      <w:r w:rsidR="002731A5" w:rsidRPr="008F79F1">
        <w:rPr>
          <w:rStyle w:val="Appelnotedebasdep"/>
          <w:rFonts w:ascii="Arial" w:hAnsi="Arial" w:cs="Arial"/>
          <w:lang w:val="en-GB"/>
        </w:rPr>
        <w:footnoteReference w:id="29"/>
      </w:r>
    </w:p>
    <w:p w14:paraId="0D3A7A3D" w14:textId="45D1BA30" w:rsidR="002731A5" w:rsidRPr="008F79F1" w:rsidRDefault="002731A5" w:rsidP="002731A5">
      <w:pPr>
        <w:spacing w:line="276" w:lineRule="auto"/>
        <w:jc w:val="both"/>
        <w:rPr>
          <w:rFonts w:ascii="Arial" w:hAnsi="Arial" w:cs="Arial"/>
          <w:sz w:val="24"/>
          <w:szCs w:val="24"/>
          <w:lang w:val="en-GB"/>
        </w:rPr>
      </w:pPr>
      <w:r w:rsidRPr="008F79F1">
        <w:rPr>
          <w:rFonts w:ascii="Arial" w:hAnsi="Arial" w:cs="Arial"/>
          <w:b/>
          <w:bCs/>
          <w:sz w:val="24"/>
          <w:szCs w:val="24"/>
          <w:lang w:val="en-GB"/>
        </w:rPr>
        <w:lastRenderedPageBreak/>
        <w:t>Recommendations for the next MFF:</w:t>
      </w:r>
      <w:r w:rsidRPr="008F79F1">
        <w:rPr>
          <w:rFonts w:ascii="Arial" w:hAnsi="Arial" w:cs="Arial"/>
          <w:sz w:val="24"/>
          <w:szCs w:val="24"/>
          <w:lang w:val="en-GB"/>
        </w:rPr>
        <w:t xml:space="preserve"> </w:t>
      </w:r>
    </w:p>
    <w:p w14:paraId="093E4465" w14:textId="77777777" w:rsidR="009320B6" w:rsidRPr="008F79F1" w:rsidRDefault="002731A5" w:rsidP="009320B6">
      <w:pPr>
        <w:pStyle w:val="Paragraphedeliste"/>
        <w:numPr>
          <w:ilvl w:val="0"/>
          <w:numId w:val="28"/>
        </w:numPr>
        <w:snapToGrid w:val="0"/>
        <w:spacing w:before="120" w:after="120" w:line="276" w:lineRule="auto"/>
        <w:ind w:left="714" w:hanging="357"/>
        <w:contextualSpacing w:val="0"/>
        <w:jc w:val="both"/>
        <w:rPr>
          <w:rFonts w:ascii="Arial" w:hAnsi="Arial" w:cs="Arial"/>
          <w:sz w:val="24"/>
          <w:szCs w:val="24"/>
          <w:lang w:val="en-GB"/>
        </w:rPr>
      </w:pPr>
      <w:r w:rsidRPr="008F79F1">
        <w:rPr>
          <w:rFonts w:ascii="Arial" w:hAnsi="Arial" w:cs="Arial"/>
          <w:b/>
          <w:bCs/>
          <w:sz w:val="24"/>
          <w:szCs w:val="24"/>
          <w:lang w:val="en-GB"/>
        </w:rPr>
        <w:t xml:space="preserve">Based on lessons learnt from the Recovery and Resilience Facility, ensure that the next MFF </w:t>
      </w:r>
      <w:r w:rsidR="009320B6" w:rsidRPr="008F79F1">
        <w:rPr>
          <w:rFonts w:ascii="Arial" w:hAnsi="Arial" w:cs="Arial"/>
          <w:b/>
          <w:bCs/>
          <w:sz w:val="24"/>
          <w:szCs w:val="24"/>
          <w:lang w:val="en-GB"/>
        </w:rPr>
        <w:t>includes concrete safeguards to ensure compliance of investments with the UNCRPD and the EU Charter of Fundamental Rights.</w:t>
      </w:r>
      <w:r w:rsidR="009320B6" w:rsidRPr="008F79F1">
        <w:rPr>
          <w:rFonts w:ascii="Arial" w:hAnsi="Arial" w:cs="Arial"/>
          <w:sz w:val="24"/>
          <w:szCs w:val="24"/>
          <w:lang w:val="en-GB"/>
        </w:rPr>
        <w:t xml:space="preserve"> This includes enabling conditions, transparency requirements and an adequate monitoring system, as well as the partnership principle.</w:t>
      </w:r>
    </w:p>
    <w:p w14:paraId="4A7F94DE" w14:textId="0D1F7683" w:rsidR="009320B6" w:rsidRPr="008F79F1" w:rsidRDefault="009320B6" w:rsidP="009320B6">
      <w:pPr>
        <w:pStyle w:val="Paragraphedeliste"/>
        <w:numPr>
          <w:ilvl w:val="0"/>
          <w:numId w:val="28"/>
        </w:numPr>
        <w:snapToGrid w:val="0"/>
        <w:spacing w:before="120" w:after="120" w:line="276" w:lineRule="auto"/>
        <w:ind w:left="714" w:hanging="357"/>
        <w:contextualSpacing w:val="0"/>
        <w:jc w:val="both"/>
        <w:rPr>
          <w:rFonts w:ascii="Arial" w:hAnsi="Arial" w:cs="Arial"/>
          <w:sz w:val="24"/>
          <w:szCs w:val="24"/>
          <w:lang w:val="en-GB"/>
        </w:rPr>
      </w:pPr>
      <w:r w:rsidRPr="008F79F1">
        <w:rPr>
          <w:rFonts w:ascii="Arial" w:hAnsi="Arial" w:cs="Arial"/>
          <w:b/>
          <w:bCs/>
          <w:sz w:val="24"/>
          <w:szCs w:val="24"/>
          <w:lang w:val="en-GB"/>
        </w:rPr>
        <w:t xml:space="preserve">Implement fully the recommendations of the European Ombudsman and the European Court of Audits </w:t>
      </w:r>
      <w:r w:rsidRPr="008F79F1">
        <w:rPr>
          <w:rFonts w:ascii="Arial" w:hAnsi="Arial" w:cs="Arial"/>
          <w:sz w:val="24"/>
          <w:szCs w:val="24"/>
          <w:lang w:val="en-GB"/>
        </w:rPr>
        <w:t>and ensure that these are taken into account for all funding instruments in the next MFF.</w:t>
      </w:r>
    </w:p>
    <w:p w14:paraId="03C91967" w14:textId="77777777" w:rsidR="009320B6" w:rsidRPr="008F79F1" w:rsidRDefault="009320B6" w:rsidP="009320B6">
      <w:pPr>
        <w:pStyle w:val="Paragraphedeliste"/>
        <w:numPr>
          <w:ilvl w:val="0"/>
          <w:numId w:val="28"/>
        </w:numPr>
        <w:snapToGrid w:val="0"/>
        <w:spacing w:before="120" w:after="120" w:line="276" w:lineRule="auto"/>
        <w:ind w:left="714" w:hanging="357"/>
        <w:contextualSpacing w:val="0"/>
        <w:jc w:val="both"/>
        <w:rPr>
          <w:rFonts w:ascii="Arial" w:hAnsi="Arial" w:cs="Arial"/>
          <w:sz w:val="24"/>
          <w:szCs w:val="24"/>
          <w:lang w:val="en-GB"/>
        </w:rPr>
      </w:pPr>
      <w:r w:rsidRPr="008F79F1">
        <w:rPr>
          <w:rFonts w:ascii="Arial" w:hAnsi="Arial" w:cs="Arial"/>
          <w:b/>
          <w:bCs/>
          <w:sz w:val="24"/>
          <w:szCs w:val="24"/>
          <w:lang w:val="en-GB"/>
        </w:rPr>
        <w:t>Carry out</w:t>
      </w:r>
      <w:r w:rsidR="00C727CD" w:rsidRPr="008F79F1">
        <w:rPr>
          <w:rFonts w:ascii="Arial" w:hAnsi="Arial" w:cs="Arial"/>
          <w:b/>
          <w:bCs/>
          <w:sz w:val="24"/>
          <w:szCs w:val="24"/>
          <w:lang w:val="en-GB"/>
        </w:rPr>
        <w:t xml:space="preserve"> a</w:t>
      </w:r>
      <w:r w:rsidRPr="008F79F1">
        <w:rPr>
          <w:rFonts w:ascii="Arial" w:hAnsi="Arial" w:cs="Arial"/>
          <w:b/>
          <w:bCs/>
          <w:sz w:val="24"/>
          <w:szCs w:val="24"/>
          <w:lang w:val="en-GB"/>
        </w:rPr>
        <w:t xml:space="preserve">n independent </w:t>
      </w:r>
      <w:r w:rsidR="00C727CD" w:rsidRPr="008F79F1">
        <w:rPr>
          <w:rFonts w:ascii="Arial" w:hAnsi="Arial" w:cs="Arial"/>
          <w:b/>
          <w:bCs/>
          <w:sz w:val="24"/>
          <w:szCs w:val="24"/>
          <w:lang w:val="en-GB"/>
        </w:rPr>
        <w:t xml:space="preserve">review of the spending under RRF to understand the extent of </w:t>
      </w:r>
      <w:r w:rsidRPr="008F79F1">
        <w:rPr>
          <w:rFonts w:ascii="Arial" w:hAnsi="Arial" w:cs="Arial"/>
          <w:b/>
          <w:bCs/>
          <w:sz w:val="24"/>
          <w:szCs w:val="24"/>
          <w:lang w:val="en-GB"/>
        </w:rPr>
        <w:t>fundamental rights violations</w:t>
      </w:r>
      <w:r w:rsidR="00C727CD" w:rsidRPr="008F79F1">
        <w:rPr>
          <w:rFonts w:ascii="Arial" w:hAnsi="Arial" w:cs="Arial"/>
          <w:sz w:val="24"/>
          <w:szCs w:val="24"/>
          <w:lang w:val="en-GB"/>
        </w:rPr>
        <w:t xml:space="preserve">, </w:t>
      </w:r>
      <w:r w:rsidRPr="008F79F1">
        <w:rPr>
          <w:rFonts w:ascii="Arial" w:hAnsi="Arial" w:cs="Arial"/>
          <w:sz w:val="24"/>
          <w:szCs w:val="24"/>
          <w:lang w:val="en-GB"/>
        </w:rPr>
        <w:t xml:space="preserve">involving civil society, including persons with disabilities and their representative organisations. </w:t>
      </w:r>
    </w:p>
    <w:p w14:paraId="6A546241" w14:textId="2FE0EBFA" w:rsidR="008F79F1" w:rsidRPr="008F79F1" w:rsidRDefault="00C727CD" w:rsidP="008F79F1">
      <w:pPr>
        <w:pStyle w:val="Paragraphedeliste"/>
        <w:numPr>
          <w:ilvl w:val="0"/>
          <w:numId w:val="28"/>
        </w:numPr>
        <w:snapToGrid w:val="0"/>
        <w:spacing w:before="120" w:after="120" w:line="276" w:lineRule="auto"/>
        <w:ind w:left="714" w:hanging="357"/>
        <w:contextualSpacing w:val="0"/>
        <w:jc w:val="both"/>
        <w:rPr>
          <w:rFonts w:ascii="Arial" w:hAnsi="Arial" w:cs="Arial"/>
          <w:sz w:val="24"/>
          <w:szCs w:val="24"/>
          <w:lang w:val="en-GB"/>
        </w:rPr>
      </w:pPr>
      <w:r w:rsidRPr="008F79F1">
        <w:rPr>
          <w:rFonts w:ascii="Arial" w:hAnsi="Arial" w:cs="Arial"/>
          <w:b/>
          <w:bCs/>
          <w:sz w:val="24"/>
          <w:szCs w:val="24"/>
          <w:lang w:val="en-GB"/>
        </w:rPr>
        <w:t xml:space="preserve">Promote and finance mechanisms to provide reparations to those </w:t>
      </w:r>
      <w:r w:rsidR="009320B6" w:rsidRPr="008F79F1">
        <w:rPr>
          <w:rFonts w:ascii="Arial" w:hAnsi="Arial" w:cs="Arial"/>
          <w:b/>
          <w:bCs/>
          <w:sz w:val="24"/>
          <w:szCs w:val="24"/>
          <w:lang w:val="en-GB"/>
        </w:rPr>
        <w:t>individual s and groups whose human rights have been violated with RRF investments</w:t>
      </w:r>
      <w:r w:rsidRPr="008F79F1">
        <w:rPr>
          <w:rFonts w:ascii="Arial" w:hAnsi="Arial" w:cs="Arial"/>
          <w:b/>
          <w:bCs/>
          <w:sz w:val="24"/>
          <w:szCs w:val="24"/>
          <w:lang w:val="en-GB"/>
        </w:rPr>
        <w:t>.</w:t>
      </w:r>
      <w:r w:rsidRPr="008F79F1">
        <w:rPr>
          <w:rFonts w:ascii="Arial" w:hAnsi="Arial" w:cs="Arial"/>
          <w:sz w:val="24"/>
          <w:szCs w:val="24"/>
          <w:lang w:val="en-GB"/>
        </w:rPr>
        <w:t xml:space="preserve"> Use the lessons learned to avoid this repeating in the future.</w:t>
      </w:r>
    </w:p>
    <w:p w14:paraId="0D0908E0" w14:textId="77777777" w:rsidR="008F79F1" w:rsidRPr="008F79F1" w:rsidRDefault="008F79F1" w:rsidP="008F79F1">
      <w:pPr>
        <w:snapToGrid w:val="0"/>
        <w:spacing w:before="120" w:after="120" w:line="276" w:lineRule="auto"/>
        <w:jc w:val="both"/>
        <w:rPr>
          <w:rFonts w:ascii="Arial" w:hAnsi="Arial" w:cs="Arial"/>
          <w:sz w:val="24"/>
          <w:szCs w:val="24"/>
          <w:lang w:val="en-GB"/>
        </w:rPr>
      </w:pPr>
    </w:p>
    <w:p w14:paraId="1C5C083E" w14:textId="11B4E434" w:rsidR="008F79F1" w:rsidRPr="008F79F1" w:rsidRDefault="008F79F1">
      <w:pPr>
        <w:spacing w:after="160" w:line="259" w:lineRule="auto"/>
        <w:rPr>
          <w:rFonts w:ascii="Arial" w:hAnsi="Arial" w:cs="Arial"/>
          <w:sz w:val="24"/>
          <w:szCs w:val="24"/>
          <w:lang w:val="en-GB"/>
        </w:rPr>
      </w:pPr>
      <w:r w:rsidRPr="008F79F1">
        <w:rPr>
          <w:rFonts w:ascii="Arial" w:hAnsi="Arial" w:cs="Arial"/>
          <w:sz w:val="24"/>
          <w:szCs w:val="24"/>
          <w:lang w:val="en-GB"/>
        </w:rPr>
        <w:br w:type="page"/>
      </w:r>
    </w:p>
    <w:p w14:paraId="052BEA03" w14:textId="7A383766" w:rsidR="008F79F1" w:rsidRPr="008F79F1" w:rsidRDefault="008F79F1" w:rsidP="008F79F1">
      <w:pPr>
        <w:jc w:val="both"/>
        <w:rPr>
          <w:rFonts w:ascii="Arial" w:hAnsi="Arial" w:cs="Arial"/>
          <w:b/>
          <w:bCs/>
          <w:sz w:val="28"/>
          <w:szCs w:val="28"/>
          <w:lang w:val="en-GB"/>
        </w:rPr>
      </w:pPr>
      <w:r w:rsidRPr="008F79F1">
        <w:rPr>
          <w:rFonts w:ascii="Arial" w:hAnsi="Arial" w:cs="Arial"/>
          <w:b/>
          <w:bCs/>
          <w:sz w:val="28"/>
          <w:szCs w:val="28"/>
          <w:lang w:val="en-GB"/>
        </w:rPr>
        <w:lastRenderedPageBreak/>
        <w:t>Annex: Glossary the key terms</w:t>
      </w:r>
    </w:p>
    <w:p w14:paraId="00BD2EDD" w14:textId="77777777" w:rsidR="008F79F1" w:rsidRPr="008F79F1" w:rsidRDefault="008F79F1" w:rsidP="008F79F1">
      <w:pPr>
        <w:jc w:val="both"/>
        <w:rPr>
          <w:rFonts w:ascii="Arial" w:hAnsi="Arial" w:cs="Arial"/>
          <w:sz w:val="24"/>
          <w:szCs w:val="24"/>
          <w:lang w:val="en-GB"/>
        </w:rPr>
      </w:pPr>
      <w:r w:rsidRPr="008F79F1">
        <w:rPr>
          <w:rFonts w:ascii="Arial" w:hAnsi="Arial" w:cs="Arial"/>
          <w:b/>
          <w:bCs/>
          <w:sz w:val="24"/>
          <w:szCs w:val="24"/>
          <w:lang w:val="en-GB"/>
        </w:rPr>
        <w:t>Independent Living </w:t>
      </w:r>
    </w:p>
    <w:p w14:paraId="74BB897B" w14:textId="77777777" w:rsidR="008F79F1" w:rsidRDefault="008F79F1" w:rsidP="008F79F1">
      <w:pPr>
        <w:jc w:val="both"/>
        <w:rPr>
          <w:rFonts w:ascii="Arial" w:hAnsi="Arial" w:cs="Arial"/>
          <w:sz w:val="24"/>
          <w:szCs w:val="24"/>
          <w:lang w:val="en-GB"/>
        </w:rPr>
      </w:pPr>
      <w:r w:rsidRPr="008F79F1">
        <w:rPr>
          <w:rFonts w:ascii="Arial" w:hAnsi="Arial" w:cs="Arial"/>
          <w:sz w:val="24"/>
          <w:szCs w:val="24"/>
          <w:lang w:val="en-GB"/>
        </w:rPr>
        <w:t>ENIL defines independent living as the daily demonstration of human rights-based disability policies. Independent living is possible through the combination of various environmental and individual factors that allow disabled people to have control over their own lives. This includes the opportunity to make real choices and decisions regarding where to live, with whom to live and how to live. Services must be available, accessible to all and provided on the basis of equal opportunity, free and informed consent and allowing disabled people flexibility in our daily life. Independent living requires that the built environment, transport and information are accessible, that there is availability of technical aids, access to personal assistance and other community-based services. It is necessary to point out that independent living is for all disabled persons, regardless of the gender, age and the level of their support needs.</w:t>
      </w:r>
    </w:p>
    <w:p w14:paraId="217CC8B2" w14:textId="46C74986" w:rsidR="00674981" w:rsidRPr="008F79F1" w:rsidRDefault="00674981" w:rsidP="008F79F1">
      <w:pPr>
        <w:jc w:val="both"/>
        <w:rPr>
          <w:rFonts w:ascii="Arial" w:hAnsi="Arial" w:cs="Arial"/>
          <w:sz w:val="24"/>
          <w:szCs w:val="24"/>
          <w:lang w:val="en-GB"/>
        </w:rPr>
      </w:pPr>
      <w:r>
        <w:rPr>
          <w:rFonts w:ascii="Arial" w:hAnsi="Arial" w:cs="Arial"/>
          <w:sz w:val="24"/>
          <w:szCs w:val="24"/>
          <w:lang w:val="en-GB"/>
        </w:rPr>
        <w:t>See also the definition of Independent Living in the General Comment 5, para 16a.</w:t>
      </w:r>
    </w:p>
    <w:p w14:paraId="5996328A" w14:textId="77777777" w:rsidR="008F79F1" w:rsidRPr="008F79F1" w:rsidRDefault="008F79F1" w:rsidP="008F79F1">
      <w:pPr>
        <w:jc w:val="both"/>
        <w:rPr>
          <w:rFonts w:ascii="Arial" w:hAnsi="Arial" w:cs="Arial"/>
          <w:b/>
          <w:bCs/>
          <w:sz w:val="24"/>
          <w:szCs w:val="24"/>
          <w:lang w:val="en-GB"/>
        </w:rPr>
      </w:pPr>
      <w:r w:rsidRPr="008F79F1">
        <w:rPr>
          <w:rFonts w:ascii="Arial" w:hAnsi="Arial" w:cs="Arial"/>
          <w:b/>
          <w:bCs/>
          <w:sz w:val="24"/>
          <w:szCs w:val="24"/>
          <w:lang w:val="en-GB"/>
        </w:rPr>
        <w:t>Deinstitutionalisation</w:t>
      </w:r>
    </w:p>
    <w:p w14:paraId="721DAAED" w14:textId="77777777" w:rsidR="008F79F1" w:rsidRPr="008F79F1" w:rsidRDefault="008F79F1" w:rsidP="008F79F1">
      <w:pPr>
        <w:jc w:val="both"/>
        <w:rPr>
          <w:rFonts w:ascii="Arial" w:hAnsi="Arial" w:cs="Arial"/>
          <w:sz w:val="24"/>
          <w:szCs w:val="24"/>
          <w:lang w:val="en-GB"/>
        </w:rPr>
      </w:pPr>
      <w:r w:rsidRPr="008F79F1">
        <w:rPr>
          <w:rFonts w:ascii="Arial" w:hAnsi="Arial" w:cs="Arial"/>
          <w:sz w:val="24"/>
          <w:szCs w:val="24"/>
          <w:lang w:val="en-GB"/>
        </w:rPr>
        <w:t>ENIL defines deinstitutionalisation as a political and a social process, which provides for the shift from institutional care and other isolating and segregating settings to independent living. It includes an end to substitute decision-making, including guardianship, and to forced treatment (including in the community). Effective deinstitutionalisation occurs when a person placed in an institution is given the opportunity to become, or to resume being a full citizen and to take control of his/her life (if necessary, with support). Essential to the process of deinstitutionalisation is the provision of affordable and accessible housing in the community, access to public services, personal assistance, and peer support. Deinstitutionalisation is also about preventing institutionalisation in the future; ensuring that children are able to grow up with their families and alongside neighbours and friends in the community, instead of being segregated in institutional care.</w:t>
      </w:r>
    </w:p>
    <w:p w14:paraId="77333B48" w14:textId="77777777" w:rsidR="008F79F1" w:rsidRPr="008F79F1" w:rsidRDefault="008F79F1" w:rsidP="008F79F1">
      <w:pPr>
        <w:jc w:val="both"/>
        <w:rPr>
          <w:rFonts w:ascii="Arial" w:hAnsi="Arial" w:cs="Arial"/>
          <w:b/>
          <w:bCs/>
          <w:sz w:val="24"/>
          <w:szCs w:val="24"/>
          <w:lang w:val="en-GB"/>
        </w:rPr>
      </w:pPr>
      <w:r w:rsidRPr="008F79F1">
        <w:rPr>
          <w:rFonts w:ascii="Arial" w:hAnsi="Arial" w:cs="Arial"/>
          <w:b/>
          <w:bCs/>
          <w:sz w:val="24"/>
          <w:szCs w:val="24"/>
          <w:lang w:val="en-GB"/>
        </w:rPr>
        <w:t>Institution</w:t>
      </w:r>
    </w:p>
    <w:p w14:paraId="03763CA9" w14:textId="77777777" w:rsidR="008F79F1" w:rsidRPr="008F79F1" w:rsidRDefault="008F79F1" w:rsidP="008F79F1">
      <w:pPr>
        <w:jc w:val="both"/>
        <w:rPr>
          <w:rFonts w:ascii="Arial" w:hAnsi="Arial" w:cs="Arial"/>
          <w:sz w:val="24"/>
          <w:szCs w:val="24"/>
          <w:lang w:val="en-GB"/>
        </w:rPr>
      </w:pPr>
      <w:r w:rsidRPr="008F79F1">
        <w:rPr>
          <w:rFonts w:ascii="Arial" w:hAnsi="Arial" w:cs="Arial"/>
          <w:sz w:val="24"/>
          <w:szCs w:val="24"/>
          <w:lang w:val="en-GB"/>
        </w:rPr>
        <w:t>According to the General Comment 5 and the CRPD Guidelines on Deinstitutionalisation, including in Emergencies, there are certain defining elements of an institution:</w:t>
      </w:r>
    </w:p>
    <w:p w14:paraId="6A01CA7A"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Obligatory sharing of assistants with others</w:t>
      </w:r>
    </w:p>
    <w:p w14:paraId="61C1952B"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No or limited influence as to who provides the assistance;</w:t>
      </w:r>
    </w:p>
    <w:p w14:paraId="5A846D35"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Isolation and segregation from independent life in the community;</w:t>
      </w:r>
    </w:p>
    <w:p w14:paraId="255E7B3F"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Lack of control over day-to-day decisions;</w:t>
      </w:r>
    </w:p>
    <w:p w14:paraId="34AAF66E"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Lack of choice for the individuals concerned over with whom they live;</w:t>
      </w:r>
    </w:p>
    <w:p w14:paraId="1DBCABEF"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Rigidity of routine irrespective of personal will and preferences;</w:t>
      </w:r>
    </w:p>
    <w:p w14:paraId="6A1CBEB9"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lastRenderedPageBreak/>
        <w:t>identical activities in the same place for a group of individuals under a certain authority;</w:t>
      </w:r>
    </w:p>
    <w:p w14:paraId="6BCDA34F"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A paternalistic approach in service provision;</w:t>
      </w:r>
    </w:p>
    <w:p w14:paraId="4AFF0150"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Supervision of living arrangements;</w:t>
      </w:r>
    </w:p>
    <w:p w14:paraId="33E23E64"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A disproportionate number of persons with disabilities in the same environment.</w:t>
      </w:r>
    </w:p>
    <w:p w14:paraId="0980647D" w14:textId="77777777" w:rsidR="008F79F1" w:rsidRPr="008F79F1" w:rsidRDefault="008F79F1" w:rsidP="008F79F1">
      <w:pPr>
        <w:pStyle w:val="Paragraphedeliste"/>
        <w:numPr>
          <w:ilvl w:val="0"/>
          <w:numId w:val="29"/>
        </w:numPr>
        <w:spacing w:after="160" w:line="259" w:lineRule="auto"/>
        <w:jc w:val="both"/>
        <w:rPr>
          <w:rFonts w:ascii="Arial" w:hAnsi="Arial" w:cs="Arial"/>
          <w:sz w:val="24"/>
          <w:szCs w:val="24"/>
          <w:lang w:val="en-GB"/>
        </w:rPr>
      </w:pPr>
      <w:r w:rsidRPr="008F79F1">
        <w:rPr>
          <w:rFonts w:ascii="Arial" w:hAnsi="Arial" w:cs="Arial"/>
          <w:sz w:val="24"/>
          <w:szCs w:val="24"/>
          <w:lang w:val="en-GB"/>
        </w:rPr>
        <w:t>Provision of housing and support in one package by the same service provider (CRPD 2022, para 16).</w:t>
      </w:r>
    </w:p>
    <w:p w14:paraId="1D9BC0F1" w14:textId="77777777" w:rsidR="008F79F1" w:rsidRPr="008F79F1" w:rsidRDefault="008F79F1" w:rsidP="008F79F1">
      <w:pPr>
        <w:jc w:val="both"/>
        <w:rPr>
          <w:rFonts w:ascii="Arial" w:hAnsi="Arial" w:cs="Arial"/>
          <w:sz w:val="24"/>
          <w:szCs w:val="24"/>
          <w:lang w:val="en-GB"/>
        </w:rPr>
      </w:pPr>
      <w:r w:rsidRPr="008F79F1">
        <w:rPr>
          <w:rFonts w:ascii="Arial" w:hAnsi="Arial" w:cs="Arial"/>
          <w:sz w:val="24"/>
          <w:szCs w:val="24"/>
          <w:lang w:val="en-GB"/>
        </w:rPr>
        <w:t>By its very definition, Independent Living is impossible in residential settings (CRPD 2017, para 16c).</w:t>
      </w:r>
    </w:p>
    <w:p w14:paraId="7B45937F" w14:textId="77777777" w:rsidR="008F79F1" w:rsidRPr="008F79F1" w:rsidRDefault="008F79F1" w:rsidP="008F79F1">
      <w:pPr>
        <w:jc w:val="both"/>
        <w:rPr>
          <w:rFonts w:ascii="Arial" w:hAnsi="Arial" w:cs="Arial"/>
          <w:sz w:val="24"/>
          <w:szCs w:val="24"/>
          <w:lang w:val="en-GB"/>
        </w:rPr>
      </w:pPr>
      <w:r w:rsidRPr="008F79F1">
        <w:rPr>
          <w:rFonts w:ascii="Arial" w:hAnsi="Arial" w:cs="Arial"/>
          <w:sz w:val="24"/>
          <w:szCs w:val="24"/>
          <w:lang w:val="en-GB"/>
        </w:rPr>
        <w:t xml:space="preserve">When it comes to children, anything other than a family (including married and unmarried parents, single parents, same-sex parents, adoptive families, kinship care, </w:t>
      </w:r>
      <w:proofErr w:type="spellStart"/>
      <w:r w:rsidRPr="008F79F1">
        <w:rPr>
          <w:rFonts w:ascii="Arial" w:hAnsi="Arial" w:cs="Arial"/>
          <w:sz w:val="24"/>
          <w:szCs w:val="24"/>
          <w:lang w:val="en-GB"/>
        </w:rPr>
        <w:t>kafalah</w:t>
      </w:r>
      <w:proofErr w:type="spellEnd"/>
      <w:r w:rsidRPr="008F79F1">
        <w:rPr>
          <w:rFonts w:ascii="Arial" w:hAnsi="Arial" w:cs="Arial"/>
          <w:sz w:val="24"/>
          <w:szCs w:val="24"/>
          <w:lang w:val="en-GB"/>
        </w:rPr>
        <w:t>, sibling care, extended family, and substitute families or foster care), must be considered an institution. “Family-like” institutions are still institutions and are no substitute for care by a family (CRPD 2017, para 16c).</w:t>
      </w:r>
    </w:p>
    <w:p w14:paraId="373866F3" w14:textId="77777777" w:rsidR="008F79F1" w:rsidRPr="008F79F1" w:rsidRDefault="008F79F1" w:rsidP="008F79F1">
      <w:pPr>
        <w:jc w:val="both"/>
        <w:rPr>
          <w:rFonts w:ascii="Arial" w:hAnsi="Arial" w:cs="Arial"/>
          <w:b/>
          <w:bCs/>
          <w:sz w:val="24"/>
          <w:szCs w:val="24"/>
          <w:lang w:val="en-GB"/>
        </w:rPr>
      </w:pPr>
      <w:r w:rsidRPr="008F79F1">
        <w:rPr>
          <w:rFonts w:ascii="Arial" w:hAnsi="Arial" w:cs="Arial"/>
          <w:b/>
          <w:bCs/>
          <w:sz w:val="24"/>
          <w:szCs w:val="24"/>
          <w:lang w:val="en-GB"/>
        </w:rPr>
        <w:t>Personal Assistance</w:t>
      </w:r>
    </w:p>
    <w:p w14:paraId="09D23CD7" w14:textId="77777777" w:rsidR="008F79F1" w:rsidRDefault="008F79F1" w:rsidP="008F79F1">
      <w:pPr>
        <w:jc w:val="both"/>
        <w:rPr>
          <w:rFonts w:ascii="Arial" w:hAnsi="Arial" w:cs="Arial"/>
          <w:sz w:val="24"/>
          <w:szCs w:val="24"/>
          <w:lang w:val="en-GB"/>
        </w:rPr>
      </w:pPr>
      <w:r w:rsidRPr="008F79F1">
        <w:rPr>
          <w:rFonts w:ascii="Arial" w:hAnsi="Arial" w:cs="Arial"/>
          <w:sz w:val="24"/>
          <w:szCs w:val="24"/>
          <w:lang w:val="en-GB"/>
        </w:rPr>
        <w:t>ENIL defines Personal Assistance as a tool which allows for independent living. Personal assistance is purchased through earmarked cash allocations for disabled people, the purpose of which is to pay for any assistance needed. Personal assistance should be provided on the basis of an individual needs assessment and depending on the life situation of each individual. The rates allocated for personal assistance to disabled people need to be in line with the current salary rates in each country. As disabled people, we must have the right to recruit, train and manage our assistants with adequate support if we choose, and we should be the ones that choose the employment model which is most suitable for our needs. Personal assistance allocations must cover the salaries of personal assistants and other performance costs, such as all contributions due by the employer, administration costs and peer support for the person who needs assistance.</w:t>
      </w:r>
    </w:p>
    <w:p w14:paraId="1768A7F9" w14:textId="38D32350" w:rsidR="00674981" w:rsidRPr="008F79F1" w:rsidRDefault="00674981" w:rsidP="008F79F1">
      <w:pPr>
        <w:jc w:val="both"/>
        <w:rPr>
          <w:rFonts w:ascii="Arial" w:hAnsi="Arial" w:cs="Arial"/>
          <w:sz w:val="24"/>
          <w:szCs w:val="24"/>
          <w:lang w:val="en-GB"/>
        </w:rPr>
      </w:pPr>
      <w:r>
        <w:rPr>
          <w:rFonts w:ascii="Arial" w:hAnsi="Arial" w:cs="Arial"/>
          <w:sz w:val="24"/>
          <w:szCs w:val="24"/>
          <w:lang w:val="en-GB"/>
        </w:rPr>
        <w:t>See also the definition of Personal Assistance in the General Comment 5, para 16d.</w:t>
      </w:r>
    </w:p>
    <w:p w14:paraId="6174BF4C" w14:textId="77777777" w:rsidR="008F79F1" w:rsidRPr="008F79F1" w:rsidRDefault="008F79F1" w:rsidP="008F79F1">
      <w:pPr>
        <w:jc w:val="both"/>
        <w:rPr>
          <w:rFonts w:ascii="Arial" w:hAnsi="Arial" w:cs="Arial"/>
          <w:b/>
          <w:bCs/>
          <w:sz w:val="24"/>
          <w:szCs w:val="24"/>
          <w:lang w:val="en-GB"/>
        </w:rPr>
      </w:pPr>
      <w:r w:rsidRPr="008F79F1">
        <w:rPr>
          <w:rFonts w:ascii="Arial" w:hAnsi="Arial" w:cs="Arial"/>
          <w:b/>
          <w:bCs/>
          <w:sz w:val="24"/>
          <w:szCs w:val="24"/>
          <w:lang w:val="en-GB"/>
        </w:rPr>
        <w:t>Disabled People’s Organisation (DPO)</w:t>
      </w:r>
    </w:p>
    <w:p w14:paraId="56DBB37B" w14:textId="77777777" w:rsidR="008F79F1" w:rsidRPr="008F79F1" w:rsidRDefault="008F79F1" w:rsidP="008F79F1">
      <w:pPr>
        <w:jc w:val="both"/>
        <w:rPr>
          <w:rFonts w:ascii="Arial" w:hAnsi="Arial" w:cs="Arial"/>
          <w:sz w:val="24"/>
          <w:szCs w:val="24"/>
          <w:lang w:val="en-GB"/>
        </w:rPr>
      </w:pPr>
      <w:r w:rsidRPr="008F79F1">
        <w:rPr>
          <w:rFonts w:ascii="Arial" w:hAnsi="Arial" w:cs="Arial"/>
          <w:sz w:val="24"/>
          <w:szCs w:val="24"/>
          <w:lang w:val="en-GB"/>
        </w:rPr>
        <w:t>A Disabled People’s Organisation (DPO) is an organisation led, directed and governed by disabled people, often advocating for disability rights as their main objective. For ENIL, a DPO’s board must be composed of at least 51% disabled people. Self-representation is a key element of a DPO, with disabled people speaking and advocating for themselves, instead of relatives or service providers.</w:t>
      </w:r>
    </w:p>
    <w:p w14:paraId="45814C9A" w14:textId="4D9ED852" w:rsidR="008F79F1" w:rsidRPr="008F79F1" w:rsidRDefault="008F79F1" w:rsidP="008F79F1">
      <w:pPr>
        <w:jc w:val="both"/>
        <w:rPr>
          <w:rFonts w:ascii="Arial" w:hAnsi="Arial" w:cs="Arial"/>
          <w:sz w:val="24"/>
          <w:szCs w:val="24"/>
          <w:lang w:val="en-GB"/>
        </w:rPr>
      </w:pPr>
      <w:proofErr w:type="spellStart"/>
      <w:r w:rsidRPr="008F79F1">
        <w:rPr>
          <w:rFonts w:ascii="Arial" w:hAnsi="Arial" w:cs="Arial"/>
          <w:b/>
          <w:bCs/>
          <w:sz w:val="24"/>
          <w:szCs w:val="24"/>
          <w:lang w:val="en-GB"/>
        </w:rPr>
        <w:t>Center</w:t>
      </w:r>
      <w:proofErr w:type="spellEnd"/>
      <w:r w:rsidRPr="008F79F1">
        <w:rPr>
          <w:rFonts w:ascii="Arial" w:hAnsi="Arial" w:cs="Arial"/>
          <w:b/>
          <w:bCs/>
          <w:sz w:val="24"/>
          <w:szCs w:val="24"/>
          <w:lang w:val="en-GB"/>
        </w:rPr>
        <w:t xml:space="preserve"> for Independent Living</w:t>
      </w:r>
      <w:r w:rsidR="00674981">
        <w:rPr>
          <w:rFonts w:ascii="Arial" w:hAnsi="Arial" w:cs="Arial"/>
          <w:b/>
          <w:bCs/>
          <w:sz w:val="24"/>
          <w:szCs w:val="24"/>
          <w:lang w:val="en-GB"/>
        </w:rPr>
        <w:t xml:space="preserve"> (CIL)</w:t>
      </w:r>
    </w:p>
    <w:p w14:paraId="0C647E66" w14:textId="77777777" w:rsidR="008F79F1" w:rsidRPr="008F79F1" w:rsidRDefault="008F79F1" w:rsidP="008F79F1">
      <w:pPr>
        <w:jc w:val="both"/>
        <w:rPr>
          <w:rFonts w:ascii="Arial" w:hAnsi="Arial" w:cs="Arial"/>
          <w:sz w:val="24"/>
          <w:szCs w:val="24"/>
          <w:lang w:val="en-GB"/>
        </w:rPr>
      </w:pPr>
      <w:r w:rsidRPr="008F79F1">
        <w:rPr>
          <w:rFonts w:ascii="Arial" w:hAnsi="Arial" w:cs="Arial"/>
          <w:sz w:val="24"/>
          <w:szCs w:val="24"/>
          <w:lang w:val="en-GB"/>
        </w:rPr>
        <w:t xml:space="preserve">A Centre for Independent Living (CIL) is a cross-disability organisation controlled by disabled people with a mission to promote social inclusion and mainstreaming of disabilities in all public policies. CILs should focus on personal assistance, peer support </w:t>
      </w:r>
      <w:r w:rsidRPr="008F79F1">
        <w:rPr>
          <w:rFonts w:ascii="Arial" w:hAnsi="Arial" w:cs="Arial"/>
          <w:sz w:val="24"/>
          <w:szCs w:val="24"/>
          <w:lang w:val="en-GB"/>
        </w:rPr>
        <w:lastRenderedPageBreak/>
        <w:t>and building inclusive communities, information and training activities for both disabled and non-disabled people, policy research from the perspective of the UN CRPD and legal representation for disabled people who want to live independently but have no opportunities to do so.</w:t>
      </w:r>
    </w:p>
    <w:p w14:paraId="0651C95A" w14:textId="77777777" w:rsidR="008F79F1" w:rsidRPr="008F79F1" w:rsidRDefault="008F79F1" w:rsidP="008F79F1">
      <w:pPr>
        <w:jc w:val="both"/>
        <w:rPr>
          <w:rFonts w:ascii="Arial" w:hAnsi="Arial" w:cs="Arial"/>
          <w:b/>
          <w:bCs/>
          <w:sz w:val="24"/>
          <w:szCs w:val="24"/>
          <w:lang w:val="en-GB"/>
        </w:rPr>
      </w:pPr>
      <w:proofErr w:type="spellStart"/>
      <w:r w:rsidRPr="008F79F1">
        <w:rPr>
          <w:rFonts w:ascii="Arial" w:hAnsi="Arial" w:cs="Arial"/>
          <w:b/>
          <w:bCs/>
          <w:sz w:val="24"/>
          <w:szCs w:val="24"/>
          <w:lang w:val="en-GB"/>
        </w:rPr>
        <w:t>Transinstitutionalisation</w:t>
      </w:r>
      <w:proofErr w:type="spellEnd"/>
    </w:p>
    <w:p w14:paraId="0AA64150" w14:textId="77777777" w:rsidR="008F79F1" w:rsidRPr="008F79F1" w:rsidRDefault="008F79F1" w:rsidP="008F79F1">
      <w:pPr>
        <w:jc w:val="both"/>
        <w:rPr>
          <w:rFonts w:ascii="Arial" w:hAnsi="Arial" w:cs="Arial"/>
          <w:sz w:val="24"/>
          <w:szCs w:val="24"/>
          <w:lang w:val="en-GB"/>
        </w:rPr>
      </w:pPr>
      <w:proofErr w:type="spellStart"/>
      <w:r w:rsidRPr="008F79F1">
        <w:rPr>
          <w:rFonts w:ascii="Arial" w:hAnsi="Arial" w:cs="Arial"/>
          <w:sz w:val="24"/>
          <w:szCs w:val="24"/>
          <w:lang w:val="en-GB"/>
        </w:rPr>
        <w:t>Transinstitutionalisation</w:t>
      </w:r>
      <w:proofErr w:type="spellEnd"/>
      <w:r w:rsidRPr="008F79F1">
        <w:rPr>
          <w:rFonts w:ascii="Arial" w:hAnsi="Arial" w:cs="Arial"/>
          <w:sz w:val="24"/>
          <w:szCs w:val="24"/>
          <w:lang w:val="en-GB"/>
        </w:rPr>
        <w:t xml:space="preserve"> refers to the transfer of residents from a large institution into a smaller institution, often called small group homes. </w:t>
      </w:r>
      <w:proofErr w:type="spellStart"/>
      <w:r w:rsidRPr="008F79F1">
        <w:rPr>
          <w:rFonts w:ascii="Arial" w:hAnsi="Arial" w:cs="Arial"/>
          <w:sz w:val="24"/>
          <w:szCs w:val="24"/>
          <w:lang w:val="en-GB"/>
        </w:rPr>
        <w:t>Transinstitutionalisation</w:t>
      </w:r>
      <w:proofErr w:type="spellEnd"/>
      <w:r w:rsidRPr="008F79F1">
        <w:rPr>
          <w:rFonts w:ascii="Arial" w:hAnsi="Arial" w:cs="Arial"/>
          <w:sz w:val="24"/>
          <w:szCs w:val="24"/>
          <w:lang w:val="en-GB"/>
        </w:rPr>
        <w:t xml:space="preserve"> can be wrongly labelled as a deinstitutionalisation strategy; however, it perpetuates institutional culture and cannot be considered an appropriate form of deinstitutionalisation. The Guidelines on deinstitutionalisation, including in emergencies, label this practice as a violation of article 19 of the UNCRPD.</w:t>
      </w:r>
    </w:p>
    <w:p w14:paraId="272455B5" w14:textId="77777777" w:rsidR="008F79F1" w:rsidRPr="008F79F1" w:rsidRDefault="008F79F1" w:rsidP="008F79F1">
      <w:pPr>
        <w:jc w:val="both"/>
        <w:rPr>
          <w:rFonts w:ascii="Arial" w:hAnsi="Arial" w:cs="Arial"/>
          <w:b/>
          <w:bCs/>
          <w:sz w:val="24"/>
          <w:szCs w:val="24"/>
          <w:lang w:val="en-GB"/>
        </w:rPr>
      </w:pPr>
      <w:r w:rsidRPr="008F79F1">
        <w:rPr>
          <w:rFonts w:ascii="Arial" w:hAnsi="Arial" w:cs="Arial"/>
          <w:b/>
          <w:bCs/>
          <w:sz w:val="24"/>
          <w:szCs w:val="24"/>
          <w:lang w:val="en-GB"/>
        </w:rPr>
        <w:t>Community-based services</w:t>
      </w:r>
    </w:p>
    <w:p w14:paraId="37F8CAB5" w14:textId="77777777" w:rsidR="008F79F1" w:rsidRPr="008F79F1" w:rsidRDefault="008F79F1" w:rsidP="008F79F1">
      <w:pPr>
        <w:jc w:val="both"/>
        <w:rPr>
          <w:rFonts w:ascii="Arial" w:hAnsi="Arial" w:cs="Arial"/>
          <w:sz w:val="24"/>
          <w:szCs w:val="24"/>
          <w:lang w:val="en-GB"/>
        </w:rPr>
      </w:pPr>
      <w:r w:rsidRPr="008F79F1">
        <w:rPr>
          <w:rFonts w:ascii="Arial" w:hAnsi="Arial" w:cs="Arial"/>
          <w:sz w:val="24"/>
          <w:szCs w:val="24"/>
          <w:lang w:val="en-GB"/>
        </w:rPr>
        <w:t>The development of community-based services requires both a political and a social approach, and consists of policy measures for making all public services, such as housing, education, transportation, healthcare and other services and support, available and accessible to disabled people in mainstream settings. Disabled people must be able to access mainstream services and opportunities and live as equal citizens. Community-based services should be in place to eliminate the need for special and segregated services, such as residential institutions, special schools, long-term hospitals for health care, or the need for special transport because mainstream transport is inaccessible, and so on.</w:t>
      </w:r>
    </w:p>
    <w:p w14:paraId="63A362C6" w14:textId="77777777" w:rsidR="008F79F1" w:rsidRPr="008F79F1" w:rsidRDefault="008F79F1" w:rsidP="008F79F1">
      <w:pPr>
        <w:snapToGrid w:val="0"/>
        <w:spacing w:before="120" w:after="120" w:line="276" w:lineRule="auto"/>
        <w:jc w:val="both"/>
        <w:rPr>
          <w:rFonts w:ascii="Arial" w:hAnsi="Arial" w:cs="Arial"/>
          <w:sz w:val="24"/>
          <w:szCs w:val="24"/>
          <w:lang w:val="en-GB"/>
        </w:rPr>
      </w:pPr>
    </w:p>
    <w:p w14:paraId="21B0BA33" w14:textId="77777777" w:rsidR="0034664F" w:rsidRPr="008F79F1" w:rsidRDefault="0034664F" w:rsidP="00694DFA">
      <w:pPr>
        <w:spacing w:line="276" w:lineRule="auto"/>
        <w:jc w:val="both"/>
        <w:rPr>
          <w:rFonts w:ascii="Helvetica" w:hAnsi="Helvetica" w:cs="Calibri"/>
          <w:b/>
          <w:sz w:val="28"/>
          <w:szCs w:val="28"/>
          <w:lang w:val="en-GB"/>
        </w:rPr>
      </w:pPr>
      <w:r w:rsidRPr="008F79F1">
        <w:rPr>
          <w:rFonts w:ascii="Helvetica" w:hAnsi="Helvetica" w:cs="Calibri"/>
          <w:b/>
          <w:sz w:val="28"/>
          <w:szCs w:val="28"/>
          <w:lang w:val="en-GB"/>
        </w:rPr>
        <w:t xml:space="preserve">About the European Network on Independent Living </w:t>
      </w:r>
    </w:p>
    <w:p w14:paraId="13E3F180" w14:textId="7A3E88F1" w:rsidR="0034664F" w:rsidRPr="00C94D25" w:rsidRDefault="0034664F" w:rsidP="00694DFA">
      <w:pPr>
        <w:spacing w:line="276" w:lineRule="auto"/>
        <w:jc w:val="both"/>
        <w:rPr>
          <w:rFonts w:ascii="Helvetica" w:hAnsi="Helvetica" w:cs="Calibri"/>
          <w:color w:val="000000" w:themeColor="text1"/>
          <w:sz w:val="24"/>
          <w:szCs w:val="24"/>
          <w:lang w:val="en-GB"/>
        </w:rPr>
      </w:pPr>
      <w:r w:rsidRPr="008F79F1">
        <w:rPr>
          <w:rFonts w:ascii="Helvetica" w:hAnsi="Helvetica" w:cs="Calibri"/>
          <w:sz w:val="24"/>
          <w:szCs w:val="24"/>
          <w:lang w:val="en-GB"/>
        </w:rPr>
        <w:t xml:space="preserve">The European Network on Independent Living (ENIL) is a Europe-wide network of disabled people, with members throughout Europe. ENIL is a forum for all disabled people, Independent Living organisations and their non-disabled allies on the issues of Independent Living. ENIL represents the disability movement for human rights and social inclusion based on solidarity, peer support, deinstitutionalisation, democracy, self-representation, cross disability and self-determination. For more information, see: </w:t>
      </w:r>
      <w:hyperlink r:id="rId8" w:history="1">
        <w:r w:rsidRPr="008F79F1">
          <w:rPr>
            <w:rStyle w:val="Lienhypertexte"/>
            <w:rFonts w:ascii="Helvetica" w:hAnsi="Helvetica" w:cs="Calibri"/>
            <w:color w:val="4472C4" w:themeColor="accent1"/>
            <w:sz w:val="24"/>
            <w:szCs w:val="24"/>
            <w:lang w:val="en-GB"/>
          </w:rPr>
          <w:t>www.enil.eu</w:t>
        </w:r>
      </w:hyperlink>
      <w:r w:rsidR="00674981">
        <w:rPr>
          <w:rFonts w:ascii="Helvetica" w:hAnsi="Helvetica" w:cs="Calibri"/>
          <w:color w:val="4472C4" w:themeColor="accent1"/>
          <w:sz w:val="24"/>
          <w:szCs w:val="24"/>
          <w:lang w:val="en-GB"/>
        </w:rPr>
        <w:t xml:space="preserve">. </w:t>
      </w:r>
      <w:r w:rsidR="00674981" w:rsidRPr="00C94D25">
        <w:rPr>
          <w:rFonts w:ascii="Helvetica" w:hAnsi="Helvetica" w:cs="Calibri"/>
          <w:color w:val="000000" w:themeColor="text1"/>
          <w:sz w:val="24"/>
          <w:szCs w:val="24"/>
          <w:lang w:val="en-GB"/>
        </w:rPr>
        <w:t xml:space="preserve">Contact person: Rita Crespo Fernandez, </w:t>
      </w:r>
      <w:hyperlink r:id="rId9" w:history="1">
        <w:r w:rsidR="00D825AB" w:rsidRPr="00C94D25">
          <w:rPr>
            <w:rStyle w:val="Lienhypertexte"/>
            <w:rFonts w:ascii="Helvetica" w:hAnsi="Helvetica" w:cs="Calibri"/>
            <w:sz w:val="24"/>
            <w:szCs w:val="24"/>
            <w:lang w:val="en-GB"/>
          </w:rPr>
          <w:t>rita.crespo-fernandez@enil.eu</w:t>
        </w:r>
      </w:hyperlink>
      <w:r w:rsidR="00D825AB" w:rsidRPr="00C94D25">
        <w:rPr>
          <w:rFonts w:ascii="Helvetica" w:hAnsi="Helvetica" w:cs="Calibri"/>
          <w:color w:val="000000" w:themeColor="text1"/>
          <w:sz w:val="24"/>
          <w:szCs w:val="24"/>
          <w:lang w:val="en-GB"/>
        </w:rPr>
        <w:t xml:space="preserve"> </w:t>
      </w:r>
    </w:p>
    <w:p w14:paraId="2AB46D1B" w14:textId="5AED4157" w:rsidR="0034664F" w:rsidRPr="008F79F1" w:rsidRDefault="00674981" w:rsidP="00674981">
      <w:pPr>
        <w:spacing w:before="120" w:line="276" w:lineRule="auto"/>
        <w:jc w:val="center"/>
        <w:rPr>
          <w:rFonts w:ascii="Helvetica" w:hAnsi="Helvetica"/>
          <w:sz w:val="24"/>
          <w:szCs w:val="24"/>
          <w:lang w:val="en-GB"/>
        </w:rPr>
      </w:pPr>
      <w:r>
        <w:rPr>
          <w:rFonts w:ascii="Helvetica" w:hAnsi="Helvetica"/>
          <w:noProof/>
          <w:sz w:val="24"/>
          <w:szCs w:val="24"/>
          <w:lang w:val="en-GB"/>
          <w14:ligatures w14:val="standardContextual"/>
        </w:rPr>
        <w:drawing>
          <wp:inline distT="0" distB="0" distL="0" distR="0" wp14:anchorId="02CEE825" wp14:editId="5FDBDAC7">
            <wp:extent cx="3106057" cy="633855"/>
            <wp:effectExtent l="0" t="0" r="5715" b="1270"/>
            <wp:docPr id="2108242809" name="Picture 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42809" name="Picture 1" descr="A close-up of several logos&#10;&#10;AI-generated content may be incorrect."/>
                    <pic:cNvPicPr/>
                  </pic:nvPicPr>
                  <pic:blipFill rotWithShape="1">
                    <a:blip r:embed="rId10" cstate="print">
                      <a:extLst>
                        <a:ext uri="{28A0092B-C50C-407E-A947-70E740481C1C}">
                          <a14:useLocalDpi xmlns:a14="http://schemas.microsoft.com/office/drawing/2010/main" val="0"/>
                        </a:ext>
                      </a:extLst>
                    </a:blip>
                    <a:srcRect t="18523" b="20256"/>
                    <a:stretch/>
                  </pic:blipFill>
                  <pic:spPr bwMode="auto">
                    <a:xfrm>
                      <a:off x="0" y="0"/>
                      <a:ext cx="3181281" cy="649206"/>
                    </a:xfrm>
                    <a:prstGeom prst="rect">
                      <a:avLst/>
                    </a:prstGeom>
                    <a:ln>
                      <a:noFill/>
                    </a:ln>
                    <a:extLst>
                      <a:ext uri="{53640926-AAD7-44D8-BBD7-CCE9431645EC}">
                        <a14:shadowObscured xmlns:a14="http://schemas.microsoft.com/office/drawing/2010/main"/>
                      </a:ext>
                    </a:extLst>
                  </pic:spPr>
                </pic:pic>
              </a:graphicData>
            </a:graphic>
          </wp:inline>
        </w:drawing>
      </w:r>
    </w:p>
    <w:p w14:paraId="1E205275" w14:textId="61DDA43E" w:rsidR="00FA53F2" w:rsidRPr="008F79F1" w:rsidRDefault="0034664F" w:rsidP="00674981">
      <w:pPr>
        <w:spacing w:after="186" w:line="276" w:lineRule="auto"/>
        <w:ind w:left="-3" w:hanging="10"/>
        <w:jc w:val="both"/>
        <w:rPr>
          <w:lang w:val="en-GB"/>
        </w:rPr>
      </w:pPr>
      <w:r w:rsidRPr="008F79F1">
        <w:rPr>
          <w:rFonts w:ascii="Helvetica" w:hAnsi="Helvetica" w:cs="Calibri"/>
          <w:sz w:val="24"/>
          <w:szCs w:val="24"/>
          <w:lang w:val="en-GB"/>
        </w:rPr>
        <w:t>Co-funded by the European Union. Views and opinions expressed are however those of the author(s) only and do not necessarily reflect those of the European Union or the European Commission. Neither the European Union nor the granting authority can be held responsible for them.</w:t>
      </w:r>
    </w:p>
    <w:sectPr w:rsidR="00FA53F2" w:rsidRPr="008F79F1" w:rsidSect="00551E4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956FA" w14:textId="77777777" w:rsidR="00FC343C" w:rsidRDefault="00FC343C" w:rsidP="0034664F">
      <w:pPr>
        <w:spacing w:after="0" w:line="240" w:lineRule="auto"/>
      </w:pPr>
      <w:r>
        <w:separator/>
      </w:r>
    </w:p>
  </w:endnote>
  <w:endnote w:type="continuationSeparator" w:id="0">
    <w:p w14:paraId="38A23FAB" w14:textId="77777777" w:rsidR="00FC343C" w:rsidRDefault="00FC343C" w:rsidP="0034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4676626"/>
      <w:docPartObj>
        <w:docPartGallery w:val="Page Numbers (Bottom of Page)"/>
        <w:docPartUnique/>
      </w:docPartObj>
    </w:sdtPr>
    <w:sdtContent>
      <w:p w14:paraId="657F9707" w14:textId="77777777" w:rsidR="00B92FAF" w:rsidRDefault="006C270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D1D7B5" w14:textId="77777777" w:rsidR="00B92FAF" w:rsidRDefault="00B92FAF" w:rsidP="002111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Arial" w:hAnsi="Arial" w:cs="Arial"/>
        <w:sz w:val="24"/>
        <w:szCs w:val="24"/>
      </w:rPr>
      <w:id w:val="-478071221"/>
      <w:docPartObj>
        <w:docPartGallery w:val="Page Numbers (Bottom of Page)"/>
        <w:docPartUnique/>
      </w:docPartObj>
    </w:sdtPr>
    <w:sdtContent>
      <w:p w14:paraId="2060003D" w14:textId="77777777" w:rsidR="00B92FAF" w:rsidRPr="00E976BA" w:rsidRDefault="006C270A">
        <w:pPr>
          <w:pStyle w:val="Pieddepage"/>
          <w:framePr w:wrap="none" w:vAnchor="text" w:hAnchor="margin" w:xAlign="right" w:y="1"/>
          <w:rPr>
            <w:rStyle w:val="Numrodepage"/>
            <w:rFonts w:ascii="Arial" w:hAnsi="Arial" w:cs="Arial"/>
            <w:sz w:val="24"/>
            <w:szCs w:val="24"/>
          </w:rPr>
        </w:pPr>
        <w:r w:rsidRPr="00E976BA">
          <w:rPr>
            <w:rStyle w:val="Numrodepage"/>
            <w:rFonts w:ascii="Arial" w:hAnsi="Arial" w:cs="Arial"/>
            <w:sz w:val="24"/>
            <w:szCs w:val="24"/>
          </w:rPr>
          <w:fldChar w:fldCharType="begin"/>
        </w:r>
        <w:r w:rsidRPr="00E976BA">
          <w:rPr>
            <w:rStyle w:val="Numrodepage"/>
            <w:rFonts w:ascii="Arial" w:hAnsi="Arial" w:cs="Arial"/>
            <w:sz w:val="24"/>
            <w:szCs w:val="24"/>
          </w:rPr>
          <w:instrText xml:space="preserve"> PAGE </w:instrText>
        </w:r>
        <w:r w:rsidRPr="00E976BA">
          <w:rPr>
            <w:rStyle w:val="Numrodepage"/>
            <w:rFonts w:ascii="Arial" w:hAnsi="Arial" w:cs="Arial"/>
            <w:sz w:val="24"/>
            <w:szCs w:val="24"/>
          </w:rPr>
          <w:fldChar w:fldCharType="separate"/>
        </w:r>
        <w:r w:rsidRPr="00E976BA">
          <w:rPr>
            <w:rStyle w:val="Numrodepage"/>
            <w:rFonts w:ascii="Arial" w:hAnsi="Arial" w:cs="Arial"/>
            <w:noProof/>
            <w:sz w:val="24"/>
            <w:szCs w:val="24"/>
          </w:rPr>
          <w:t>2</w:t>
        </w:r>
        <w:r w:rsidRPr="00E976BA">
          <w:rPr>
            <w:rStyle w:val="Numrodepage"/>
            <w:rFonts w:ascii="Arial" w:hAnsi="Arial" w:cs="Arial"/>
            <w:sz w:val="24"/>
            <w:szCs w:val="24"/>
          </w:rPr>
          <w:fldChar w:fldCharType="end"/>
        </w:r>
      </w:p>
    </w:sdtContent>
  </w:sdt>
  <w:p w14:paraId="1DF5EEF1" w14:textId="77777777" w:rsidR="00B92FAF" w:rsidRDefault="00B92FAF" w:rsidP="00211109">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2AD1" w14:textId="77777777" w:rsidR="00D825AB" w:rsidRDefault="00D825AB" w:rsidP="00D825AB">
    <w:pPr>
      <w:pStyle w:val="Pieddepage"/>
      <w:snapToGrid w:val="0"/>
      <w:spacing w:after="0"/>
      <w:jc w:val="center"/>
      <w:rPr>
        <w:rFonts w:ascii="Arial" w:hAnsi="Arial" w:cs="Arial"/>
        <w:sz w:val="20"/>
        <w:szCs w:val="20"/>
      </w:rPr>
    </w:pPr>
  </w:p>
  <w:p w14:paraId="22881B7E" w14:textId="1251D6E8" w:rsidR="00D825AB" w:rsidRDefault="00D825AB" w:rsidP="00D825AB">
    <w:pPr>
      <w:pStyle w:val="Pieddepage"/>
      <w:snapToGrid w:val="0"/>
      <w:spacing w:after="0"/>
      <w:jc w:val="center"/>
      <w:rPr>
        <w:rFonts w:ascii="Arial" w:hAnsi="Arial" w:cs="Arial"/>
        <w:sz w:val="20"/>
        <w:szCs w:val="20"/>
      </w:rPr>
    </w:pPr>
    <w:r w:rsidRPr="00BA557E">
      <w:rPr>
        <w:rFonts w:ascii="Arial" w:hAnsi="Arial" w:cs="Arial"/>
        <w:sz w:val="20"/>
        <w:szCs w:val="20"/>
      </w:rPr>
      <w:t xml:space="preserve">European Network on Independent Living </w:t>
    </w:r>
    <w:proofErr w:type="spellStart"/>
    <w:r w:rsidRPr="00BA557E">
      <w:rPr>
        <w:rFonts w:ascii="Arial" w:hAnsi="Arial" w:cs="Arial"/>
        <w:sz w:val="20"/>
        <w:szCs w:val="20"/>
      </w:rPr>
      <w:t>Brussels</w:t>
    </w:r>
    <w:proofErr w:type="spellEnd"/>
    <w:r w:rsidRPr="00BA557E">
      <w:rPr>
        <w:rFonts w:ascii="Arial" w:hAnsi="Arial" w:cs="Arial"/>
        <w:sz w:val="20"/>
        <w:szCs w:val="20"/>
      </w:rPr>
      <w:t xml:space="preserve"> Office </w:t>
    </w:r>
    <w:proofErr w:type="spellStart"/>
    <w:r w:rsidRPr="00BA557E">
      <w:rPr>
        <w:rFonts w:ascii="Arial" w:hAnsi="Arial" w:cs="Arial"/>
        <w:sz w:val="20"/>
        <w:szCs w:val="20"/>
      </w:rPr>
      <w:t>vzw</w:t>
    </w:r>
    <w:proofErr w:type="spellEnd"/>
    <w:r w:rsidRPr="00BA557E">
      <w:rPr>
        <w:rFonts w:ascii="Arial" w:hAnsi="Arial" w:cs="Arial"/>
        <w:sz w:val="20"/>
        <w:szCs w:val="20"/>
      </w:rPr>
      <w:t>/</w:t>
    </w:r>
    <w:proofErr w:type="spellStart"/>
    <w:r w:rsidRPr="00BA557E">
      <w:rPr>
        <w:rFonts w:ascii="Arial" w:hAnsi="Arial" w:cs="Arial"/>
        <w:sz w:val="20"/>
        <w:szCs w:val="20"/>
      </w:rPr>
      <w:t>asbl</w:t>
    </w:r>
    <w:proofErr w:type="spellEnd"/>
  </w:p>
  <w:p w14:paraId="5A937A34" w14:textId="77777777" w:rsidR="00D825AB" w:rsidRDefault="00D825AB" w:rsidP="00D825AB">
    <w:pPr>
      <w:pStyle w:val="Pieddepage"/>
      <w:snapToGrid w:val="0"/>
      <w:spacing w:after="0"/>
      <w:jc w:val="center"/>
      <w:rPr>
        <w:rFonts w:ascii="Arial" w:hAnsi="Arial" w:cs="Arial"/>
        <w:sz w:val="20"/>
        <w:szCs w:val="20"/>
      </w:rPr>
    </w:pPr>
    <w:r w:rsidRPr="00BA557E">
      <w:rPr>
        <w:rFonts w:ascii="Arial" w:hAnsi="Arial" w:cs="Arial"/>
        <w:sz w:val="20"/>
        <w:szCs w:val="20"/>
      </w:rPr>
      <w:t>Mundo J – 6</w:t>
    </w:r>
    <w:r w:rsidRPr="00BA557E">
      <w:rPr>
        <w:rFonts w:ascii="Arial" w:hAnsi="Arial" w:cs="Arial"/>
        <w:sz w:val="20"/>
        <w:szCs w:val="20"/>
        <w:vertAlign w:val="superscript"/>
      </w:rPr>
      <w:t>th</w:t>
    </w:r>
    <w:r w:rsidRPr="00BA557E">
      <w:rPr>
        <w:rFonts w:ascii="Arial" w:hAnsi="Arial" w:cs="Arial"/>
        <w:sz w:val="20"/>
        <w:szCs w:val="20"/>
      </w:rPr>
      <w:t xml:space="preserve"> Floor, Rue de </w:t>
    </w:r>
    <w:proofErr w:type="spellStart"/>
    <w:r w:rsidRPr="00BA557E">
      <w:rPr>
        <w:rFonts w:ascii="Arial" w:hAnsi="Arial" w:cs="Arial"/>
        <w:sz w:val="20"/>
        <w:szCs w:val="20"/>
      </w:rPr>
      <w:t>l’Industrie</w:t>
    </w:r>
    <w:proofErr w:type="spellEnd"/>
    <w:r w:rsidRPr="00BA557E">
      <w:rPr>
        <w:rFonts w:ascii="Arial" w:hAnsi="Arial" w:cs="Arial"/>
        <w:sz w:val="20"/>
        <w:szCs w:val="20"/>
      </w:rPr>
      <w:t xml:space="preserve"> 10, 1000 </w:t>
    </w:r>
    <w:proofErr w:type="spellStart"/>
    <w:r w:rsidRPr="00BA557E">
      <w:rPr>
        <w:rFonts w:ascii="Arial" w:hAnsi="Arial" w:cs="Arial"/>
        <w:sz w:val="20"/>
        <w:szCs w:val="20"/>
      </w:rPr>
      <w:t>Brussels</w:t>
    </w:r>
    <w:proofErr w:type="spellEnd"/>
    <w:r w:rsidRPr="00BA557E">
      <w:rPr>
        <w:rFonts w:ascii="Arial" w:hAnsi="Arial" w:cs="Arial"/>
        <w:sz w:val="20"/>
        <w:szCs w:val="20"/>
      </w:rPr>
      <w:t xml:space="preserve">, </w:t>
    </w:r>
    <w:proofErr w:type="spellStart"/>
    <w:r w:rsidRPr="00BA557E">
      <w:rPr>
        <w:rFonts w:ascii="Arial" w:hAnsi="Arial" w:cs="Arial"/>
        <w:sz w:val="20"/>
        <w:szCs w:val="20"/>
      </w:rPr>
      <w:t>Belgium</w:t>
    </w:r>
    <w:proofErr w:type="spellEnd"/>
    <w:r>
      <w:rPr>
        <w:rFonts w:ascii="Arial" w:hAnsi="Arial" w:cs="Arial"/>
        <w:sz w:val="20"/>
        <w:szCs w:val="20"/>
      </w:rPr>
      <w:t xml:space="preserve">, </w:t>
    </w:r>
    <w:proofErr w:type="spellStart"/>
    <w:r>
      <w:rPr>
        <w:rFonts w:ascii="Arial" w:hAnsi="Arial" w:cs="Arial"/>
        <w:sz w:val="20"/>
        <w:szCs w:val="20"/>
      </w:rPr>
      <w:t>t</w:t>
    </w:r>
    <w:r w:rsidRPr="00BA557E">
      <w:rPr>
        <w:rFonts w:ascii="Arial" w:hAnsi="Arial" w:cs="Arial"/>
        <w:sz w:val="20"/>
        <w:szCs w:val="20"/>
      </w:rPr>
      <w:t>el</w:t>
    </w:r>
    <w:proofErr w:type="spellEnd"/>
    <w:r w:rsidRPr="00BA557E">
      <w:rPr>
        <w:rFonts w:ascii="Arial" w:hAnsi="Arial" w:cs="Arial"/>
        <w:sz w:val="20"/>
        <w:szCs w:val="20"/>
      </w:rPr>
      <w:t xml:space="preserve">: 00 32 2 893 25 83, </w:t>
    </w:r>
    <w:proofErr w:type="spellStart"/>
    <w:r w:rsidRPr="00BA557E">
      <w:rPr>
        <w:rFonts w:ascii="Arial" w:hAnsi="Arial" w:cs="Arial"/>
        <w:sz w:val="20"/>
        <w:szCs w:val="20"/>
      </w:rPr>
      <w:t>web</w:t>
    </w:r>
    <w:proofErr w:type="spellEnd"/>
    <w:r w:rsidRPr="00BA557E">
      <w:rPr>
        <w:rFonts w:ascii="Arial" w:hAnsi="Arial" w:cs="Arial"/>
        <w:sz w:val="20"/>
        <w:szCs w:val="20"/>
      </w:rPr>
      <w:t xml:space="preserve">: </w:t>
    </w:r>
    <w:hyperlink r:id="rId1" w:history="1">
      <w:r w:rsidRPr="00BA557E">
        <w:rPr>
          <w:rStyle w:val="Lienhypertexte"/>
          <w:rFonts w:ascii="Arial" w:hAnsi="Arial" w:cs="Arial"/>
          <w:sz w:val="20"/>
          <w:szCs w:val="20"/>
        </w:rPr>
        <w:t>www.enil.eu</w:t>
      </w:r>
    </w:hyperlink>
    <w:r w:rsidRPr="00BA557E">
      <w:rPr>
        <w:rFonts w:ascii="Arial" w:hAnsi="Arial" w:cs="Arial"/>
        <w:sz w:val="20"/>
        <w:szCs w:val="20"/>
      </w:rPr>
      <w:t xml:space="preserve">, </w:t>
    </w:r>
    <w:proofErr w:type="spellStart"/>
    <w:r w:rsidRPr="00BA557E">
      <w:rPr>
        <w:rFonts w:ascii="Arial" w:hAnsi="Arial" w:cs="Arial"/>
        <w:sz w:val="20"/>
        <w:szCs w:val="20"/>
      </w:rPr>
      <w:t>e-mail</w:t>
    </w:r>
    <w:proofErr w:type="spellEnd"/>
    <w:r w:rsidRPr="00BA557E">
      <w:rPr>
        <w:rFonts w:ascii="Arial" w:hAnsi="Arial" w:cs="Arial"/>
        <w:sz w:val="20"/>
        <w:szCs w:val="20"/>
      </w:rPr>
      <w:t xml:space="preserve">: </w:t>
    </w:r>
    <w:hyperlink r:id="rId2" w:history="1">
      <w:r w:rsidRPr="00BA557E">
        <w:rPr>
          <w:rStyle w:val="Lienhypertexte"/>
          <w:rFonts w:ascii="Arial" w:hAnsi="Arial" w:cs="Arial"/>
          <w:sz w:val="20"/>
          <w:szCs w:val="20"/>
        </w:rPr>
        <w:t>secretariat@enil.eu</w:t>
      </w:r>
    </w:hyperlink>
  </w:p>
  <w:p w14:paraId="4D647923" w14:textId="397D2DC6" w:rsidR="00D825AB" w:rsidRPr="00D825AB" w:rsidRDefault="00D825AB" w:rsidP="00D825AB">
    <w:pPr>
      <w:pStyle w:val="Pieddepage"/>
      <w:snapToGrid w:val="0"/>
      <w:spacing w:after="0"/>
      <w:jc w:val="center"/>
      <w:rPr>
        <w:rFonts w:ascii="Arial" w:hAnsi="Arial" w:cs="Arial"/>
        <w:sz w:val="20"/>
        <w:szCs w:val="20"/>
      </w:rPr>
    </w:pPr>
    <w:r>
      <w:rPr>
        <w:rFonts w:ascii="Arial" w:hAnsi="Arial" w:cs="Arial"/>
        <w:sz w:val="20"/>
        <w:szCs w:val="20"/>
      </w:rPr>
      <w:t>R</w:t>
    </w:r>
    <w:r w:rsidRPr="00BA557E">
      <w:rPr>
        <w:rFonts w:ascii="Arial" w:hAnsi="Arial" w:cs="Arial"/>
        <w:sz w:val="20"/>
        <w:szCs w:val="20"/>
      </w:rPr>
      <w:t xml:space="preserve">egistration </w:t>
    </w:r>
    <w:proofErr w:type="spellStart"/>
    <w:r w:rsidRPr="00BA557E">
      <w:rPr>
        <w:rFonts w:ascii="Arial" w:hAnsi="Arial" w:cs="Arial"/>
        <w:sz w:val="20"/>
        <w:szCs w:val="20"/>
      </w:rPr>
      <w:t>n</w:t>
    </w:r>
    <w:r>
      <w:rPr>
        <w:rFonts w:ascii="Arial" w:hAnsi="Arial" w:cs="Arial"/>
        <w:sz w:val="20"/>
        <w:szCs w:val="20"/>
      </w:rPr>
      <w:t>umber</w:t>
    </w:r>
    <w:proofErr w:type="spellEnd"/>
    <w:r w:rsidRPr="00BA557E">
      <w:rPr>
        <w:rFonts w:ascii="Arial" w:hAnsi="Arial" w:cs="Arial"/>
        <w:sz w:val="20"/>
        <w:szCs w:val="20"/>
      </w:rPr>
      <w:t xml:space="preserve">: 0628829521 RPR </w:t>
    </w:r>
    <w:proofErr w:type="spellStart"/>
    <w:r w:rsidRPr="00BA557E">
      <w:rPr>
        <w:rFonts w:ascii="Arial" w:hAnsi="Arial" w:cs="Arial"/>
        <w:sz w:val="20"/>
        <w:szCs w:val="20"/>
      </w:rPr>
      <w:t>Brussels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86A0D" w14:textId="77777777" w:rsidR="00FC343C" w:rsidRDefault="00FC343C" w:rsidP="0034664F">
      <w:pPr>
        <w:spacing w:after="0" w:line="240" w:lineRule="auto"/>
      </w:pPr>
      <w:r>
        <w:separator/>
      </w:r>
    </w:p>
  </w:footnote>
  <w:footnote w:type="continuationSeparator" w:id="0">
    <w:p w14:paraId="5AD0C32B" w14:textId="77777777" w:rsidR="00FC343C" w:rsidRDefault="00FC343C" w:rsidP="0034664F">
      <w:pPr>
        <w:spacing w:after="0" w:line="240" w:lineRule="auto"/>
      </w:pPr>
      <w:r>
        <w:continuationSeparator/>
      </w:r>
    </w:p>
  </w:footnote>
  <w:footnote w:id="1">
    <w:p w14:paraId="4F2FAA18" w14:textId="6805320C" w:rsidR="002731A5" w:rsidRPr="00674981" w:rsidRDefault="002731A5"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ENIL Fact sheet on funding, available from: </w:t>
      </w:r>
      <w:hyperlink r:id="rId1" w:history="1">
        <w:r w:rsidRPr="00674981">
          <w:rPr>
            <w:rStyle w:val="Lienhypertexte"/>
            <w:rFonts w:ascii="Arial" w:hAnsi="Arial" w:cs="Arial"/>
            <w:lang w:val="en-GB"/>
          </w:rPr>
          <w:t>https://enil.eu/funding/</w:t>
        </w:r>
      </w:hyperlink>
      <w:r w:rsidRPr="00674981">
        <w:rPr>
          <w:rFonts w:ascii="Arial" w:hAnsi="Arial" w:cs="Arial"/>
          <w:lang w:val="en-GB"/>
        </w:rPr>
        <w:t xml:space="preserve"> </w:t>
      </w:r>
    </w:p>
  </w:footnote>
  <w:footnote w:id="2">
    <w:p w14:paraId="1E8DA439" w14:textId="4206DB20" w:rsidR="002731A5" w:rsidRPr="00674981" w:rsidRDefault="002731A5"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See: </w:t>
      </w:r>
      <w:hyperlink r:id="rId2" w:history="1">
        <w:r w:rsidRPr="00674981">
          <w:rPr>
            <w:rStyle w:val="Lienhypertexte"/>
            <w:rFonts w:ascii="Arial" w:hAnsi="Arial" w:cs="Arial"/>
            <w:lang w:val="en-GB"/>
          </w:rPr>
          <w:t>https://tbinternet.ohchr.org/_layouts/15/treatybodyexternal/Download.aspx?symbolno=CRPD%2FC%2FEUR%2FCO%2F2-3&amp;Lang=en</w:t>
        </w:r>
      </w:hyperlink>
      <w:r w:rsidRPr="00674981">
        <w:rPr>
          <w:rFonts w:ascii="Arial" w:hAnsi="Arial" w:cs="Arial"/>
          <w:lang w:val="en-GB"/>
        </w:rPr>
        <w:t xml:space="preserve"> </w:t>
      </w:r>
    </w:p>
  </w:footnote>
  <w:footnote w:id="3">
    <w:p w14:paraId="47A35173" w14:textId="6CE8C1DE" w:rsidR="0016380E" w:rsidRPr="00674981" w:rsidRDefault="0016380E"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Read more at our ENIL and Validity Foundation’s joint analysis of the Committee’s concluding observations, available at </w:t>
      </w:r>
      <w:hyperlink r:id="rId3" w:history="1">
        <w:r w:rsidR="00770CD0" w:rsidRPr="00674981">
          <w:rPr>
            <w:rStyle w:val="Lienhypertexte"/>
            <w:rFonts w:ascii="Arial" w:hAnsi="Arial" w:cs="Arial"/>
            <w:lang w:val="en-GB"/>
          </w:rPr>
          <w:t>Concluding-Observations-EU-Joint-statement.docx</w:t>
        </w:r>
      </w:hyperlink>
    </w:p>
  </w:footnote>
  <w:footnote w:id="4">
    <w:p w14:paraId="5C5EFBD0" w14:textId="11917D8B" w:rsidR="008F79F1" w:rsidRPr="00674981" w:rsidRDefault="008F79F1"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See: </w:t>
      </w:r>
      <w:hyperlink r:id="rId4" w:history="1">
        <w:r w:rsidRPr="00674981">
          <w:rPr>
            <w:rStyle w:val="Lienhypertexte"/>
            <w:rFonts w:ascii="Arial" w:hAnsi="Arial" w:cs="Arial"/>
            <w:lang w:val="en-GB"/>
          </w:rPr>
          <w:t>https://eur-lex.europa.eu/eli/reg/2021/1060/oj/eng</w:t>
        </w:r>
      </w:hyperlink>
      <w:r w:rsidRPr="00674981">
        <w:rPr>
          <w:rFonts w:ascii="Arial" w:hAnsi="Arial" w:cs="Arial"/>
          <w:lang w:val="en-GB"/>
        </w:rPr>
        <w:t xml:space="preserve"> </w:t>
      </w:r>
    </w:p>
  </w:footnote>
  <w:footnote w:id="5">
    <w:p w14:paraId="74D86B07" w14:textId="1752070F" w:rsidR="00B43EBF" w:rsidRPr="00674981" w:rsidRDefault="00B43EBF"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Pr="00674981">
        <w:rPr>
          <w:rFonts w:ascii="Arial" w:hAnsi="Arial" w:cs="Arial"/>
        </w:rPr>
        <w:t xml:space="preserve"> </w:t>
      </w:r>
      <w:r w:rsidRPr="00674981">
        <w:rPr>
          <w:rFonts w:ascii="Arial" w:hAnsi="Arial" w:cs="Arial"/>
          <w:lang w:val="en-GB"/>
        </w:rPr>
        <w:t xml:space="preserve">See: </w:t>
      </w:r>
      <w:hyperlink r:id="rId5" w:history="1">
        <w:r w:rsidRPr="00674981">
          <w:rPr>
            <w:rStyle w:val="Lienhypertexte"/>
            <w:rFonts w:ascii="Arial" w:hAnsi="Arial" w:cs="Arial"/>
            <w:lang w:val="en-GB"/>
          </w:rPr>
          <w:t>https://op.europa.eu/en/publication-detail/-/publication/3e1e2228-7c97-11eb-9ac9-01aa75ed71a1/language-en</w:t>
        </w:r>
      </w:hyperlink>
      <w:r w:rsidRPr="00674981">
        <w:rPr>
          <w:rFonts w:ascii="Arial" w:hAnsi="Arial" w:cs="Arial"/>
          <w:lang w:val="en-GB"/>
        </w:rPr>
        <w:t xml:space="preserve"> </w:t>
      </w:r>
    </w:p>
  </w:footnote>
  <w:footnote w:id="6">
    <w:p w14:paraId="13E736A4" w14:textId="600768C8" w:rsidR="00B43EBF" w:rsidRPr="00674981" w:rsidRDefault="00B43EBF"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Pr="00674981">
        <w:rPr>
          <w:rFonts w:ascii="Arial" w:hAnsi="Arial" w:cs="Arial"/>
        </w:rPr>
        <w:t xml:space="preserve"> </w:t>
      </w:r>
      <w:r w:rsidRPr="00674981">
        <w:rPr>
          <w:rFonts w:ascii="Arial" w:hAnsi="Arial" w:cs="Arial"/>
          <w:lang w:val="en-GB"/>
        </w:rPr>
        <w:t xml:space="preserve">See: </w:t>
      </w:r>
      <w:hyperlink r:id="rId6" w:history="1">
        <w:r w:rsidRPr="00674981">
          <w:rPr>
            <w:rStyle w:val="Lienhypertexte"/>
            <w:rFonts w:ascii="Arial" w:hAnsi="Arial" w:cs="Arial"/>
            <w:lang w:val="en-GB"/>
          </w:rPr>
          <w:t>https://employment-social-affairs.ec.europa.eu/policies-and-activities/social-protection-social-inclusion/addressing-poverty-and-supporting-social-inclusion/investing-children/european-child-guarantee_en</w:t>
        </w:r>
      </w:hyperlink>
      <w:r w:rsidRPr="00674981">
        <w:rPr>
          <w:rFonts w:ascii="Arial" w:hAnsi="Arial" w:cs="Arial"/>
          <w:lang w:val="en-GB"/>
        </w:rPr>
        <w:t xml:space="preserve"> </w:t>
      </w:r>
    </w:p>
  </w:footnote>
  <w:footnote w:id="7">
    <w:p w14:paraId="02C96C8C" w14:textId="0BA9C92B" w:rsidR="00B43EBF" w:rsidRPr="00674981" w:rsidRDefault="00B43EBF"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Pr="00674981">
        <w:rPr>
          <w:rFonts w:ascii="Arial" w:hAnsi="Arial" w:cs="Arial"/>
        </w:rPr>
        <w:t xml:space="preserve"> </w:t>
      </w:r>
      <w:r w:rsidRPr="00674981">
        <w:rPr>
          <w:rFonts w:ascii="Arial" w:hAnsi="Arial" w:cs="Arial"/>
          <w:lang w:val="en-GB"/>
        </w:rPr>
        <w:t>See: https://employment-social-affairs.ec.europa.eu/news/commission-adopts-guidance-independent-living-persons-disabilities-2024-11-20_en</w:t>
      </w:r>
    </w:p>
  </w:footnote>
  <w:footnote w:id="8">
    <w:p w14:paraId="7B56BA97" w14:textId="74A8EFD1" w:rsidR="00B43EBF" w:rsidRPr="00674981" w:rsidRDefault="00B43EBF"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Pr="00674981">
        <w:rPr>
          <w:rFonts w:ascii="Arial" w:hAnsi="Arial" w:cs="Arial"/>
        </w:rPr>
        <w:t xml:space="preserve"> </w:t>
      </w:r>
      <w:r w:rsidRPr="00674981">
        <w:rPr>
          <w:rFonts w:ascii="Arial" w:hAnsi="Arial" w:cs="Arial"/>
          <w:lang w:val="en-GB"/>
        </w:rPr>
        <w:t xml:space="preserve">See: </w:t>
      </w:r>
      <w:hyperlink r:id="rId7" w:history="1">
        <w:r w:rsidRPr="00674981">
          <w:rPr>
            <w:rStyle w:val="Lienhypertexte"/>
            <w:rFonts w:ascii="Arial" w:hAnsi="Arial" w:cs="Arial"/>
            <w:lang w:val="en-GB"/>
          </w:rPr>
          <w:t>https://www.ohchr.org/en/documents/general-comments-and-recommendations/general-comment-no5-article-19-right-live</w:t>
        </w:r>
      </w:hyperlink>
      <w:r w:rsidRPr="00674981">
        <w:rPr>
          <w:rFonts w:ascii="Arial" w:hAnsi="Arial" w:cs="Arial"/>
          <w:lang w:val="en-GB"/>
        </w:rPr>
        <w:t xml:space="preserve"> </w:t>
      </w:r>
    </w:p>
  </w:footnote>
  <w:footnote w:id="9">
    <w:p w14:paraId="4F9F0E40" w14:textId="51E2A589" w:rsidR="00B43EBF" w:rsidRPr="00674981" w:rsidRDefault="00B43EBF"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Pr="00674981">
        <w:rPr>
          <w:rFonts w:ascii="Arial" w:hAnsi="Arial" w:cs="Arial"/>
        </w:rPr>
        <w:t xml:space="preserve"> </w:t>
      </w:r>
      <w:r w:rsidRPr="00674981">
        <w:rPr>
          <w:rFonts w:ascii="Arial" w:hAnsi="Arial" w:cs="Arial"/>
          <w:lang w:val="en-GB"/>
        </w:rPr>
        <w:t xml:space="preserve">See: </w:t>
      </w:r>
      <w:hyperlink r:id="rId8" w:history="1">
        <w:r w:rsidRPr="00674981">
          <w:rPr>
            <w:rStyle w:val="Lienhypertexte"/>
            <w:rFonts w:ascii="Arial" w:hAnsi="Arial" w:cs="Arial"/>
            <w:lang w:val="en-GB"/>
          </w:rPr>
          <w:t>https://www.ohchr.org/en/documents/legal-standards-and-guidelines/crpdc5-guidelines-deinstitutionalization-including</w:t>
        </w:r>
      </w:hyperlink>
      <w:r w:rsidRPr="00674981">
        <w:rPr>
          <w:rFonts w:ascii="Arial" w:hAnsi="Arial" w:cs="Arial"/>
          <w:lang w:val="en-GB"/>
        </w:rPr>
        <w:t xml:space="preserve"> </w:t>
      </w:r>
    </w:p>
  </w:footnote>
  <w:footnote w:id="10">
    <w:p w14:paraId="2D59EE80" w14:textId="77777777" w:rsidR="00D50D49" w:rsidRPr="00674981" w:rsidRDefault="00D50D49"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ENIL (2023). Advancing Slowly, Regressing Quickly: First glance at the Right to Independent Living in the </w:t>
      </w:r>
    </w:p>
    <w:p w14:paraId="6E1F744C" w14:textId="77777777" w:rsidR="00D50D49" w:rsidRPr="00674981" w:rsidRDefault="00D50D49" w:rsidP="00674981">
      <w:pPr>
        <w:pStyle w:val="Notedebasdepage"/>
        <w:spacing w:after="0" w:line="240" w:lineRule="auto"/>
        <w:rPr>
          <w:rFonts w:ascii="Arial" w:hAnsi="Arial" w:cs="Arial"/>
          <w:lang w:val="en-GB"/>
        </w:rPr>
      </w:pPr>
      <w:r w:rsidRPr="00674981">
        <w:rPr>
          <w:rFonts w:ascii="Arial" w:hAnsi="Arial" w:cs="Arial"/>
          <w:lang w:val="en-GB"/>
        </w:rPr>
        <w:t xml:space="preserve">European Union Funding of 2021-2027, available at </w:t>
      </w:r>
      <w:hyperlink r:id="rId9" w:history="1">
        <w:r w:rsidRPr="00674981">
          <w:rPr>
            <w:rStyle w:val="Lienhypertexte"/>
            <w:rFonts w:ascii="Arial" w:hAnsi="Arial" w:cs="Arial"/>
            <w:lang w:val="en-GB"/>
          </w:rPr>
          <w:t>ENIL - Briefing on EU Funds 2021-2027</w:t>
        </w:r>
      </w:hyperlink>
    </w:p>
  </w:footnote>
  <w:footnote w:id="11">
    <w:p w14:paraId="2B408064" w14:textId="460434E6" w:rsidR="00B43EBF" w:rsidRPr="00674981" w:rsidRDefault="00B43EBF"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Pr="00674981">
        <w:rPr>
          <w:rFonts w:ascii="Arial" w:hAnsi="Arial" w:cs="Arial"/>
        </w:rPr>
        <w:t xml:space="preserve"> </w:t>
      </w:r>
      <w:r w:rsidRPr="00674981">
        <w:rPr>
          <w:rFonts w:ascii="Arial" w:hAnsi="Arial" w:cs="Arial"/>
          <w:lang w:val="en-GB"/>
        </w:rPr>
        <w:t xml:space="preserve">See: </w:t>
      </w:r>
      <w:hyperlink r:id="rId10" w:history="1">
        <w:r w:rsidRPr="00674981">
          <w:rPr>
            <w:rStyle w:val="Lienhypertexte"/>
            <w:rFonts w:ascii="Arial" w:hAnsi="Arial" w:cs="Arial"/>
            <w:lang w:val="en-GB"/>
          </w:rPr>
          <w:t>https://european-social-fund-plus.ec.europa.eu/en/social-innovation-match/case-study/independent-life-support-model-mavi</w:t>
        </w:r>
      </w:hyperlink>
      <w:r w:rsidRPr="00674981">
        <w:rPr>
          <w:rFonts w:ascii="Arial" w:hAnsi="Arial" w:cs="Arial"/>
          <w:lang w:val="en-GB"/>
        </w:rPr>
        <w:t xml:space="preserve"> </w:t>
      </w:r>
    </w:p>
  </w:footnote>
  <w:footnote w:id="12">
    <w:p w14:paraId="03BF1900" w14:textId="6A0D08CB" w:rsidR="00551E40" w:rsidRPr="00674981" w:rsidRDefault="00551E40"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European Court of Auditors (2023). Special report: Supporting persons with disabilities, Practical impact of EU action is limited, available at: </w:t>
      </w:r>
      <w:hyperlink r:id="rId11" w:history="1">
        <w:r w:rsidR="00541E9E" w:rsidRPr="00674981">
          <w:rPr>
            <w:rStyle w:val="Lienhypertexte"/>
            <w:rFonts w:ascii="Arial" w:hAnsi="Arial" w:cs="Arial"/>
            <w:lang w:val="en-GB"/>
          </w:rPr>
          <w:t>https://www.eca.europa.eu/ECAPublications/SR-2023-20/SR-2023-20_EN.pdf</w:t>
        </w:r>
      </w:hyperlink>
      <w:r w:rsidR="00541E9E" w:rsidRPr="00674981">
        <w:rPr>
          <w:rFonts w:ascii="Arial" w:hAnsi="Arial" w:cs="Arial"/>
          <w:lang w:val="en-GB"/>
        </w:rPr>
        <w:t xml:space="preserve"> </w:t>
      </w:r>
    </w:p>
  </w:footnote>
  <w:footnote w:id="13">
    <w:p w14:paraId="7F39B3A6" w14:textId="7987BF1E" w:rsidR="00ED68A0" w:rsidRPr="00674981" w:rsidRDefault="00ED68A0"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w:t>
      </w:r>
      <w:proofErr w:type="spellStart"/>
      <w:r w:rsidRPr="00674981">
        <w:rPr>
          <w:rFonts w:ascii="Arial" w:hAnsi="Arial" w:cs="Arial"/>
          <w:lang w:val="en-GB"/>
        </w:rPr>
        <w:t>Eurofound</w:t>
      </w:r>
      <w:proofErr w:type="spellEnd"/>
      <w:r w:rsidR="00DB2ECC" w:rsidRPr="00674981">
        <w:rPr>
          <w:rFonts w:ascii="Arial" w:hAnsi="Arial" w:cs="Arial"/>
          <w:lang w:val="en-GB"/>
        </w:rPr>
        <w:t xml:space="preserve"> (2024), Paths towards independent living and social inclusion in Europe, available from: https://www.eurofound.europa.eu/en/publications/2024/paths-towards-independent-living-and-social-inclusion-europe</w:t>
      </w:r>
    </w:p>
  </w:footnote>
  <w:footnote w:id="14">
    <w:p w14:paraId="10D9DCE4" w14:textId="37257518" w:rsidR="00ED68A0" w:rsidRPr="00674981" w:rsidRDefault="00ED68A0"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w:t>
      </w:r>
      <w:r w:rsidRPr="00674981">
        <w:rPr>
          <w:rFonts w:ascii="Arial" w:hAnsi="Arial" w:cs="Arial"/>
          <w:i/>
          <w:iCs w:val="0"/>
          <w:lang w:val="en-GB"/>
        </w:rPr>
        <w:t>Ibid</w:t>
      </w:r>
    </w:p>
  </w:footnote>
  <w:footnote w:id="15">
    <w:p w14:paraId="38FCE87E" w14:textId="77777777" w:rsidR="000156F7" w:rsidRPr="00674981" w:rsidRDefault="00ED68A0"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w:t>
      </w:r>
      <w:r w:rsidR="000156F7" w:rsidRPr="00674981">
        <w:rPr>
          <w:rFonts w:ascii="Arial" w:hAnsi="Arial" w:cs="Arial"/>
          <w:lang w:val="en-GB"/>
        </w:rPr>
        <w:t xml:space="preserve">ENIL (2023). Advancing Slowly, Regressing Quickly: First glance at the Right to Independent Living in the </w:t>
      </w:r>
    </w:p>
    <w:p w14:paraId="3908444F" w14:textId="596FFAF5" w:rsidR="00ED68A0" w:rsidRPr="00674981" w:rsidRDefault="000156F7" w:rsidP="00674981">
      <w:pPr>
        <w:pStyle w:val="Notedebasdepage"/>
        <w:spacing w:after="0" w:line="240" w:lineRule="auto"/>
        <w:rPr>
          <w:rFonts w:ascii="Arial" w:hAnsi="Arial" w:cs="Arial"/>
          <w:lang w:val="en-GB"/>
        </w:rPr>
      </w:pPr>
      <w:r w:rsidRPr="00674981">
        <w:rPr>
          <w:rFonts w:ascii="Arial" w:hAnsi="Arial" w:cs="Arial"/>
          <w:lang w:val="en-GB"/>
        </w:rPr>
        <w:t xml:space="preserve">European Union Funding of 2021-2027, available at </w:t>
      </w:r>
      <w:hyperlink r:id="rId12" w:history="1">
        <w:r w:rsidRPr="00674981">
          <w:rPr>
            <w:rStyle w:val="Lienhypertexte"/>
            <w:rFonts w:ascii="Arial" w:hAnsi="Arial" w:cs="Arial"/>
            <w:lang w:val="en-GB"/>
          </w:rPr>
          <w:t>ENIL - Briefing on EU Funds 2021-2027</w:t>
        </w:r>
      </w:hyperlink>
    </w:p>
  </w:footnote>
  <w:footnote w:id="16">
    <w:p w14:paraId="2A3A7DAD" w14:textId="747069DA" w:rsidR="0015578D" w:rsidRPr="00674981" w:rsidRDefault="0015578D"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w:t>
      </w:r>
      <w:r w:rsidR="000156F7" w:rsidRPr="00674981">
        <w:rPr>
          <w:rFonts w:ascii="Arial" w:hAnsi="Arial" w:cs="Arial"/>
          <w:lang w:val="en-GB"/>
        </w:rPr>
        <w:t xml:space="preserve">ENIL Fact sheet on funding, available from: </w:t>
      </w:r>
      <w:hyperlink r:id="rId13" w:history="1">
        <w:r w:rsidR="000156F7" w:rsidRPr="00674981">
          <w:rPr>
            <w:rStyle w:val="Lienhypertexte"/>
            <w:rFonts w:ascii="Arial" w:hAnsi="Arial" w:cs="Arial"/>
            <w:lang w:val="en-GB"/>
          </w:rPr>
          <w:t>https://enil.eu/funding/</w:t>
        </w:r>
      </w:hyperlink>
    </w:p>
  </w:footnote>
  <w:footnote w:id="17">
    <w:p w14:paraId="26C77ABA" w14:textId="6E53D36F" w:rsidR="00C94D25" w:rsidRPr="00220DB9" w:rsidRDefault="00C94D25" w:rsidP="005C5D37">
      <w:pPr>
        <w:pStyle w:val="Notedebasdepage"/>
      </w:pPr>
      <w:r>
        <w:rPr>
          <w:rStyle w:val="Appelnotedebasdep"/>
        </w:rPr>
        <w:footnoteRef/>
      </w:r>
      <w:r>
        <w:t xml:space="preserve"> Communication </w:t>
      </w:r>
      <w:proofErr w:type="spellStart"/>
      <w:r>
        <w:t>from</w:t>
      </w:r>
      <w:proofErr w:type="spellEnd"/>
      <w:r>
        <w:t xml:space="preserve"> </w:t>
      </w:r>
      <w:proofErr w:type="spellStart"/>
      <w:r>
        <w:t>the</w:t>
      </w:r>
      <w:proofErr w:type="spellEnd"/>
      <w:r>
        <w:t xml:space="preserve"> </w:t>
      </w:r>
      <w:proofErr w:type="spellStart"/>
      <w:r>
        <w:t>Commission</w:t>
      </w:r>
      <w:proofErr w:type="spellEnd"/>
      <w:r>
        <w:t xml:space="preserve"> </w:t>
      </w:r>
      <w:proofErr w:type="spellStart"/>
      <w:r>
        <w:t>to</w:t>
      </w:r>
      <w:proofErr w:type="spellEnd"/>
      <w:r>
        <w:t xml:space="preserve"> </w:t>
      </w:r>
      <w:proofErr w:type="spellStart"/>
      <w:r>
        <w:t>the</w:t>
      </w:r>
      <w:proofErr w:type="spellEnd"/>
      <w:r>
        <w:t xml:space="preserve"> European </w:t>
      </w:r>
      <w:proofErr w:type="spellStart"/>
      <w:r>
        <w:t>Parliament</w:t>
      </w:r>
      <w:proofErr w:type="spellEnd"/>
      <w:r w:rsidR="0044713E">
        <w:t xml:space="preserve"> and</w:t>
      </w:r>
      <w:r>
        <w:t xml:space="preserve"> </w:t>
      </w:r>
      <w:proofErr w:type="spellStart"/>
      <w:r>
        <w:t>the</w:t>
      </w:r>
      <w:proofErr w:type="spellEnd"/>
      <w:r>
        <w:t xml:space="preserve"> Council</w:t>
      </w:r>
      <w:r w:rsidR="0044713E">
        <w:t xml:space="preserve">: </w:t>
      </w:r>
      <w:r w:rsidR="005C5D37">
        <w:t xml:space="preserve">A </w:t>
      </w:r>
      <w:proofErr w:type="spellStart"/>
      <w:r w:rsidR="005C5D37">
        <w:t>modernised</w:t>
      </w:r>
      <w:proofErr w:type="spellEnd"/>
      <w:r w:rsidR="005C5D37">
        <w:t xml:space="preserve"> </w:t>
      </w:r>
      <w:proofErr w:type="spellStart"/>
      <w:r w:rsidR="005C5D37">
        <w:t>Cohesion</w:t>
      </w:r>
      <w:proofErr w:type="spellEnd"/>
      <w:r w:rsidR="005C5D37">
        <w:t xml:space="preserve"> </w:t>
      </w:r>
      <w:proofErr w:type="spellStart"/>
      <w:r w:rsidR="005C5D37">
        <w:t>policy</w:t>
      </w:r>
      <w:proofErr w:type="spellEnd"/>
      <w:r w:rsidR="005C5D37">
        <w:t xml:space="preserve">: The </w:t>
      </w:r>
      <w:proofErr w:type="spellStart"/>
      <w:r w:rsidR="005C5D37">
        <w:t>mid</w:t>
      </w:r>
      <w:proofErr w:type="spellEnd"/>
      <w:r w:rsidR="005C5D37">
        <w:t xml:space="preserve">-term review </w:t>
      </w:r>
      <w:r>
        <w:t xml:space="preserve"> (2025), </w:t>
      </w:r>
      <w:r w:rsidRPr="00FC3103">
        <w:t>COM(2025)</w:t>
      </w:r>
      <w:r w:rsidR="005C5D37">
        <w:t xml:space="preserve"> 1</w:t>
      </w:r>
      <w:r w:rsidRPr="00FC3103">
        <w:t>6</w:t>
      </w:r>
      <w:r w:rsidR="005C5D37">
        <w:t>3</w:t>
      </w:r>
      <w:r w:rsidRPr="00FC3103">
        <w:t xml:space="preserve"> final</w:t>
      </w:r>
      <w:r>
        <w:t xml:space="preserve">, </w:t>
      </w:r>
      <w:proofErr w:type="spellStart"/>
      <w:r>
        <w:t>available</w:t>
      </w:r>
      <w:proofErr w:type="spellEnd"/>
      <w:r>
        <w:t xml:space="preserve"> at </w:t>
      </w:r>
      <w:hyperlink r:id="rId14" w:history="1">
        <w:r w:rsidR="005C5D37" w:rsidRPr="005C5D37">
          <w:rPr>
            <w:rStyle w:val="Lienhypertexte"/>
          </w:rPr>
          <w:t>communication-mid-term-review-2025_en.pdf</w:t>
        </w:r>
      </w:hyperlink>
    </w:p>
  </w:footnote>
  <w:footnote w:id="18">
    <w:p w14:paraId="30126D77" w14:textId="5A0D6039" w:rsidR="00943BA1" w:rsidRPr="00674981" w:rsidRDefault="00943BA1"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00DB2ECC" w:rsidRPr="00674981">
        <w:rPr>
          <w:rFonts w:ascii="Arial" w:hAnsi="Arial" w:cs="Arial"/>
          <w:lang w:val="en-GB"/>
        </w:rPr>
        <w:t xml:space="preserve"> European Ombudsman, Decision </w:t>
      </w:r>
      <w:proofErr w:type="spellStart"/>
      <w:r w:rsidR="00DB2ECC" w:rsidRPr="00674981">
        <w:rPr>
          <w:rFonts w:ascii="Arial" w:hAnsi="Arial" w:cs="Arial"/>
          <w:lang w:val="en-GB"/>
        </w:rPr>
        <w:t>o</w:t>
      </w:r>
      <w:proofErr w:type="spellEnd"/>
      <w:r w:rsidR="00DB2ECC" w:rsidRPr="00674981">
        <w:rPr>
          <w:rFonts w:ascii="Arial" w:hAnsi="Arial" w:cs="Arial"/>
          <w:lang w:val="en-GB"/>
        </w:rPr>
        <w:t xml:space="preserve"> how the European Commission monitors fundamental rights compliance in the </w:t>
      </w:r>
      <w:r w:rsidR="00A10A65" w:rsidRPr="00674981">
        <w:rPr>
          <w:rFonts w:ascii="Arial" w:hAnsi="Arial" w:cs="Arial"/>
          <w:lang w:val="en-GB"/>
        </w:rPr>
        <w:t>context</w:t>
      </w:r>
      <w:r w:rsidR="00DB2ECC" w:rsidRPr="00674981">
        <w:rPr>
          <w:rFonts w:ascii="Arial" w:hAnsi="Arial" w:cs="Arial"/>
          <w:lang w:val="en-GB"/>
        </w:rPr>
        <w:t xml:space="preserve"> of EU funds granted to Greece for border management (case 1418/2023/VS), </w:t>
      </w:r>
      <w:r w:rsidR="00A10A65" w:rsidRPr="00674981">
        <w:rPr>
          <w:rFonts w:ascii="Arial" w:hAnsi="Arial" w:cs="Arial"/>
          <w:lang w:val="en-GB"/>
        </w:rPr>
        <w:t>21 February 2025</w:t>
      </w:r>
      <w:r w:rsidR="00DB2ECC" w:rsidRPr="00674981">
        <w:rPr>
          <w:rFonts w:ascii="Arial" w:hAnsi="Arial" w:cs="Arial"/>
          <w:lang w:val="en-GB"/>
        </w:rPr>
        <w:t>, available from:</w:t>
      </w:r>
      <w:r w:rsidRPr="00674981">
        <w:rPr>
          <w:rFonts w:ascii="Arial" w:hAnsi="Arial" w:cs="Arial"/>
          <w:lang w:val="en-GB"/>
        </w:rPr>
        <w:t xml:space="preserve"> </w:t>
      </w:r>
      <w:hyperlink r:id="rId15" w:history="1">
        <w:r w:rsidR="00DB2ECC" w:rsidRPr="00674981">
          <w:rPr>
            <w:rStyle w:val="Lienhypertexte"/>
            <w:rFonts w:ascii="Arial" w:hAnsi="Arial" w:cs="Arial"/>
            <w:lang w:val="en-GB"/>
          </w:rPr>
          <w:t>https://www.ombudsman.europa.eu/en/decision/en/200015</w:t>
        </w:r>
      </w:hyperlink>
      <w:r w:rsidR="00DB2ECC" w:rsidRPr="00674981">
        <w:rPr>
          <w:rFonts w:ascii="Arial" w:hAnsi="Arial" w:cs="Arial"/>
          <w:lang w:val="en-GB"/>
        </w:rPr>
        <w:t xml:space="preserve"> </w:t>
      </w:r>
    </w:p>
  </w:footnote>
  <w:footnote w:id="19">
    <w:p w14:paraId="04F0614F" w14:textId="7F431064" w:rsidR="000A7D9E" w:rsidRPr="00674981" w:rsidRDefault="000A7D9E"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w:t>
      </w:r>
      <w:r w:rsidR="00A10A65" w:rsidRPr="00674981">
        <w:rPr>
          <w:rFonts w:ascii="Arial" w:hAnsi="Arial" w:cs="Arial"/>
          <w:lang w:val="en-GB"/>
        </w:rPr>
        <w:t xml:space="preserve">See, for example, European Commission’s decision on Romania, following ENIL’s complaint, available from: </w:t>
      </w:r>
      <w:hyperlink r:id="rId16" w:history="1">
        <w:r w:rsidR="00A10A65" w:rsidRPr="00674981">
          <w:rPr>
            <w:rStyle w:val="Lienhypertexte"/>
            <w:rFonts w:ascii="Arial" w:hAnsi="Arial" w:cs="Arial"/>
            <w:lang w:val="en-GB"/>
          </w:rPr>
          <w:t>https://enil.eu/funding/</w:t>
        </w:r>
      </w:hyperlink>
      <w:r w:rsidR="00A10A65" w:rsidRPr="00674981">
        <w:rPr>
          <w:rFonts w:ascii="Arial" w:hAnsi="Arial" w:cs="Arial"/>
          <w:lang w:val="en-GB"/>
        </w:rPr>
        <w:t xml:space="preserve"> </w:t>
      </w:r>
    </w:p>
  </w:footnote>
  <w:footnote w:id="20">
    <w:p w14:paraId="70463639" w14:textId="3E5DF2B0" w:rsidR="00A10A65" w:rsidRPr="00674981" w:rsidRDefault="00A10A65"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Pr="00674981">
        <w:rPr>
          <w:rFonts w:ascii="Arial" w:hAnsi="Arial" w:cs="Arial"/>
        </w:rPr>
        <w:t xml:space="preserve"> </w:t>
      </w:r>
      <w:r w:rsidRPr="00674981">
        <w:rPr>
          <w:rFonts w:ascii="Arial" w:hAnsi="Arial" w:cs="Arial"/>
          <w:lang w:val="en-GB"/>
        </w:rPr>
        <w:t xml:space="preserve">See: </w:t>
      </w:r>
      <w:hyperlink r:id="rId17" w:history="1">
        <w:r w:rsidRPr="00674981">
          <w:rPr>
            <w:rStyle w:val="Lienhypertexte"/>
            <w:rFonts w:ascii="Arial" w:hAnsi="Arial" w:cs="Arial"/>
            <w:lang w:val="en-GB"/>
          </w:rPr>
          <w:t>https://validity.ngo/2019/11/15/ngos-take-european-commission-to-court-for-funding-segregation-of-disabled-persons-in-bulgaria/</w:t>
        </w:r>
      </w:hyperlink>
      <w:r w:rsidRPr="00674981">
        <w:rPr>
          <w:rFonts w:ascii="Arial" w:hAnsi="Arial" w:cs="Arial"/>
          <w:lang w:val="en-GB"/>
        </w:rPr>
        <w:t xml:space="preserve"> </w:t>
      </w:r>
    </w:p>
  </w:footnote>
  <w:footnote w:id="21">
    <w:p w14:paraId="48551B3D" w14:textId="1E571DA9" w:rsidR="00A10A65" w:rsidRPr="00674981" w:rsidRDefault="00A10A65"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Pr="00674981">
        <w:rPr>
          <w:rFonts w:ascii="Arial" w:hAnsi="Arial" w:cs="Arial"/>
        </w:rPr>
        <w:t xml:space="preserve"> </w:t>
      </w:r>
      <w:r w:rsidRPr="00674981">
        <w:rPr>
          <w:rFonts w:ascii="Arial" w:hAnsi="Arial" w:cs="Arial"/>
          <w:lang w:val="en-GB"/>
        </w:rPr>
        <w:t xml:space="preserve">See: </w:t>
      </w:r>
      <w:hyperlink r:id="rId18" w:anchor=":~:text=What%20is%20it%3F%20The%20guidance%20note%20Leaving%20no,including%20in%20policy%2C%20programming%20and%20implementation%20of%20actions" w:history="1">
        <w:r w:rsidRPr="00674981">
          <w:rPr>
            <w:rStyle w:val="Lienhypertexte"/>
            <w:rFonts w:ascii="Arial" w:hAnsi="Arial" w:cs="Arial"/>
            <w:lang w:val="en-GB"/>
          </w:rPr>
          <w:t>https://wikis.ec.europa.eu/spaces/ExactExternalWiki/pages/83689832/Leaving+no+one+behind+-+Disability+inclusion+in+EU+external+action#:~:text=What%20is%20it%3F%20The%20guidance%20note%20Leaving%20no,including%20in%20policy%2C%20programming%20and%20implementation%20of%20actions</w:t>
        </w:r>
      </w:hyperlink>
      <w:r w:rsidRPr="00674981">
        <w:rPr>
          <w:rFonts w:ascii="Arial" w:hAnsi="Arial" w:cs="Arial"/>
          <w:lang w:val="en-GB"/>
        </w:rPr>
        <w:t xml:space="preserve">. </w:t>
      </w:r>
    </w:p>
  </w:footnote>
  <w:footnote w:id="22">
    <w:p w14:paraId="75302C27" w14:textId="5276E924" w:rsidR="00A10A65" w:rsidRPr="00674981" w:rsidRDefault="00A10A65"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00674981" w:rsidRPr="00674981">
        <w:rPr>
          <w:rFonts w:ascii="Arial" w:hAnsi="Arial" w:cs="Arial"/>
        </w:rPr>
        <w:t xml:space="preserve"> See:</w:t>
      </w:r>
      <w:r w:rsidRPr="00674981">
        <w:rPr>
          <w:rFonts w:ascii="Arial" w:hAnsi="Arial" w:cs="Arial"/>
        </w:rPr>
        <w:t xml:space="preserve"> </w:t>
      </w:r>
      <w:hyperlink r:id="rId19" w:history="1">
        <w:r w:rsidR="00674981" w:rsidRPr="00674981">
          <w:rPr>
            <w:rStyle w:val="Lienhypertexte"/>
            <w:rFonts w:ascii="Arial" w:hAnsi="Arial" w:cs="Arial"/>
          </w:rPr>
          <w:t>https://international-partnerships.ec.europa.eu/funding-and-technical-assistance/funding-instruments/global-europe-neighbourhood-development-and-international-cooperation-instrument_en</w:t>
        </w:r>
      </w:hyperlink>
      <w:r w:rsidR="00674981" w:rsidRPr="00674981">
        <w:rPr>
          <w:rFonts w:ascii="Arial" w:hAnsi="Arial" w:cs="Arial"/>
        </w:rPr>
        <w:t xml:space="preserve"> </w:t>
      </w:r>
    </w:p>
  </w:footnote>
  <w:footnote w:id="23">
    <w:p w14:paraId="0BD39021" w14:textId="475D8ECB" w:rsidR="00674981" w:rsidRPr="00674981" w:rsidRDefault="00674981" w:rsidP="00674981">
      <w:pPr>
        <w:pStyle w:val="Notedebasdepage"/>
        <w:spacing w:after="0" w:line="240" w:lineRule="auto"/>
        <w:rPr>
          <w:rFonts w:ascii="Arial" w:hAnsi="Arial" w:cs="Arial"/>
          <w:lang w:val="en-GB"/>
        </w:rPr>
      </w:pPr>
      <w:r w:rsidRPr="00674981">
        <w:rPr>
          <w:rStyle w:val="Appelnotedebasdep"/>
          <w:rFonts w:ascii="Arial" w:hAnsi="Arial" w:cs="Arial"/>
        </w:rPr>
        <w:footnoteRef/>
      </w:r>
      <w:r w:rsidRPr="00674981">
        <w:rPr>
          <w:rFonts w:ascii="Arial" w:hAnsi="Arial" w:cs="Arial"/>
        </w:rPr>
        <w:t xml:space="preserve"> See: </w:t>
      </w:r>
      <w:hyperlink r:id="rId20" w:history="1">
        <w:r w:rsidRPr="00674981">
          <w:rPr>
            <w:rStyle w:val="Lienhypertexte"/>
            <w:rFonts w:ascii="Arial" w:hAnsi="Arial" w:cs="Arial"/>
          </w:rPr>
          <w:t>https://www.edf-feph.org/content/uploads/2022/02/PDF-ENIL-EDF-DI-Global-Report.pdf</w:t>
        </w:r>
      </w:hyperlink>
      <w:r w:rsidRPr="00674981">
        <w:rPr>
          <w:rFonts w:ascii="Arial" w:hAnsi="Arial" w:cs="Arial"/>
        </w:rPr>
        <w:t xml:space="preserve"> </w:t>
      </w:r>
    </w:p>
  </w:footnote>
  <w:footnote w:id="24">
    <w:p w14:paraId="4C5A15E9" w14:textId="78F3FC73" w:rsidR="00091EE4" w:rsidRPr="00674981" w:rsidRDefault="00091EE4"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European Ombudsman, Case SI/6/2021/PVV, available from: </w:t>
      </w:r>
      <w:hyperlink r:id="rId21" w:history="1">
        <w:r w:rsidRPr="00674981">
          <w:rPr>
            <w:rStyle w:val="Lienhypertexte"/>
            <w:rFonts w:ascii="Arial" w:hAnsi="Arial" w:cs="Arial"/>
            <w:lang w:val="en-GB"/>
          </w:rPr>
          <w:t>https://www.ombudsman.europa.eu/en/case/en/59363</w:t>
        </w:r>
      </w:hyperlink>
      <w:r w:rsidRPr="00674981">
        <w:rPr>
          <w:rFonts w:ascii="Arial" w:hAnsi="Arial" w:cs="Arial"/>
          <w:lang w:val="en-GB"/>
        </w:rPr>
        <w:t xml:space="preserve"> </w:t>
      </w:r>
    </w:p>
  </w:footnote>
  <w:footnote w:id="25">
    <w:p w14:paraId="1AAD7F10" w14:textId="5BF8D6C5" w:rsidR="000C18A5" w:rsidRPr="00674981" w:rsidRDefault="000C18A5"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European Ombudsman, Closing note on the Strategic Initiative concerning the transparency and accountability of the Recovery and Resilience Facility (SI/6/2021/PVV), 12 September 2023, available from: </w:t>
      </w:r>
      <w:hyperlink r:id="rId22" w:history="1">
        <w:r w:rsidRPr="00674981">
          <w:rPr>
            <w:rStyle w:val="Lienhypertexte"/>
            <w:rFonts w:ascii="Arial" w:hAnsi="Arial" w:cs="Arial"/>
            <w:lang w:val="en-GB"/>
          </w:rPr>
          <w:t>https://www.ombudsman.europa.eu/en/doc/closing-note/en/175056</w:t>
        </w:r>
      </w:hyperlink>
      <w:r w:rsidRPr="00674981">
        <w:rPr>
          <w:rFonts w:ascii="Arial" w:hAnsi="Arial" w:cs="Arial"/>
          <w:lang w:val="en-GB"/>
        </w:rPr>
        <w:t xml:space="preserve"> </w:t>
      </w:r>
    </w:p>
  </w:footnote>
  <w:footnote w:id="26">
    <w:p w14:paraId="761B363C" w14:textId="0CD0C0E4" w:rsidR="000C18A5" w:rsidRPr="00674981" w:rsidRDefault="000C18A5"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European Court of Audits, Special report 26/2023: The Recovery and Resilience Facility’s performance monitoring framework – Measuring implementation progress but not sufficient to capture performance, 24 October 2023, available from: </w:t>
      </w:r>
      <w:hyperlink r:id="rId23" w:history="1">
        <w:r w:rsidRPr="00674981">
          <w:rPr>
            <w:rStyle w:val="Lienhypertexte"/>
            <w:rFonts w:ascii="Arial" w:hAnsi="Arial" w:cs="Arial"/>
            <w:lang w:val="en-GB"/>
          </w:rPr>
          <w:t>https://www.eca.europa.eu/en/publications?ref=SR-2023-26</w:t>
        </w:r>
      </w:hyperlink>
      <w:r w:rsidRPr="00674981">
        <w:rPr>
          <w:rFonts w:ascii="Arial" w:hAnsi="Arial" w:cs="Arial"/>
          <w:lang w:val="en-GB"/>
        </w:rPr>
        <w:t xml:space="preserve"> </w:t>
      </w:r>
    </w:p>
  </w:footnote>
  <w:footnote w:id="27">
    <w:p w14:paraId="794680AE" w14:textId="7778812F" w:rsidR="002731A5" w:rsidRPr="00674981" w:rsidRDefault="002731A5"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See: </w:t>
      </w:r>
      <w:hyperlink r:id="rId24" w:history="1">
        <w:r w:rsidRPr="00674981">
          <w:rPr>
            <w:rStyle w:val="Lienhypertexte"/>
            <w:rFonts w:ascii="Arial" w:hAnsi="Arial" w:cs="Arial"/>
            <w:lang w:val="en-GB"/>
          </w:rPr>
          <w:t>https://www.granadadigital.es/junta-promueve-construccion-15-residencias-centros-dia-mayores-discapacitados-provincia/</w:t>
        </w:r>
      </w:hyperlink>
      <w:r w:rsidRPr="00674981">
        <w:rPr>
          <w:rFonts w:ascii="Arial" w:hAnsi="Arial" w:cs="Arial"/>
          <w:lang w:val="en-GB"/>
        </w:rPr>
        <w:t xml:space="preserve"> </w:t>
      </w:r>
    </w:p>
  </w:footnote>
  <w:footnote w:id="28">
    <w:p w14:paraId="0E4AEF3F" w14:textId="63EF951E" w:rsidR="002731A5" w:rsidRPr="00674981" w:rsidRDefault="002731A5"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See: </w:t>
      </w:r>
      <w:hyperlink r:id="rId25" w:history="1">
        <w:r w:rsidRPr="00674981">
          <w:rPr>
            <w:rStyle w:val="Lienhypertexte"/>
            <w:rFonts w:ascii="Arial" w:hAnsi="Arial" w:cs="Arial"/>
            <w:lang w:val="en-GB"/>
          </w:rPr>
          <w:t>https://commission.europa.eu/projects/modernisation-long-term-care_en</w:t>
        </w:r>
      </w:hyperlink>
      <w:r w:rsidRPr="00674981">
        <w:rPr>
          <w:rFonts w:ascii="Arial" w:hAnsi="Arial" w:cs="Arial"/>
          <w:lang w:val="en-GB"/>
        </w:rPr>
        <w:t xml:space="preserve"> </w:t>
      </w:r>
    </w:p>
  </w:footnote>
  <w:footnote w:id="29">
    <w:p w14:paraId="05F1E68A" w14:textId="28B7ABBC" w:rsidR="002731A5" w:rsidRPr="00674981" w:rsidRDefault="002731A5" w:rsidP="00674981">
      <w:pPr>
        <w:pStyle w:val="Notedebasdepage"/>
        <w:spacing w:after="0" w:line="240" w:lineRule="auto"/>
        <w:rPr>
          <w:rFonts w:ascii="Arial" w:hAnsi="Arial" w:cs="Arial"/>
          <w:lang w:val="en-GB"/>
        </w:rPr>
      </w:pPr>
      <w:r w:rsidRPr="00674981">
        <w:rPr>
          <w:rStyle w:val="Appelnotedebasdep"/>
          <w:rFonts w:ascii="Arial" w:hAnsi="Arial" w:cs="Arial"/>
          <w:lang w:val="en-GB"/>
        </w:rPr>
        <w:footnoteRef/>
      </w:r>
      <w:r w:rsidRPr="00674981">
        <w:rPr>
          <w:rFonts w:ascii="Arial" w:hAnsi="Arial" w:cs="Arial"/>
          <w:lang w:val="en-GB"/>
        </w:rPr>
        <w:t xml:space="preserve"> See: </w:t>
      </w:r>
      <w:hyperlink r:id="rId26" w:history="1">
        <w:r w:rsidRPr="00674981">
          <w:rPr>
            <w:rStyle w:val="Lienhypertexte"/>
            <w:rFonts w:ascii="Arial" w:hAnsi="Arial" w:cs="Arial"/>
            <w:lang w:val="en-GB"/>
          </w:rPr>
          <w:t>https://mrosp.gov.hr/vijesti/uruceni-ugovori-za-izgradnju-18-novih-centara-za-starije-osobe-vrijedni-gotovo-160-milijuna-eura/13182</w:t>
        </w:r>
      </w:hyperlink>
      <w:r w:rsidRPr="00674981">
        <w:rPr>
          <w:rFonts w:ascii="Arial" w:hAnsi="Arial" w:cs="Arial"/>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A795" w14:textId="77777777" w:rsidR="00B92FAF" w:rsidRDefault="006C270A">
    <w:pPr>
      <w:pStyle w:val="En-tte"/>
      <w:framePr w:wrap="none"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76CDDCC9" w14:textId="77777777" w:rsidR="00B92FAF" w:rsidRDefault="006C270A" w:rsidP="00B722DE">
    <w:pPr>
      <w:pStyle w:val="En-tte"/>
      <w:framePr w:wrap="none" w:vAnchor="text" w:hAnchor="margin" w:y="1"/>
      <w:ind w:right="360" w:firstLine="360"/>
      <w:rPr>
        <w:rStyle w:val="Numrodepage"/>
      </w:rPr>
    </w:pPr>
    <w:r>
      <w:rPr>
        <w:rStyle w:val="Numrodepage"/>
      </w:rPr>
      <w:fldChar w:fldCharType="begin"/>
    </w:r>
    <w:r>
      <w:rPr>
        <w:rStyle w:val="Numrodepage"/>
      </w:rPr>
      <w:instrText xml:space="preserve">PAGE  </w:instrText>
    </w:r>
    <w:r>
      <w:rPr>
        <w:rStyle w:val="Numrodepage"/>
      </w:rPr>
      <w:fldChar w:fldCharType="end"/>
    </w:r>
  </w:p>
  <w:p w14:paraId="529C0D2B" w14:textId="77777777" w:rsidR="00B92FAF" w:rsidRDefault="00B92FAF" w:rsidP="00B722DE">
    <w:pPr>
      <w:pStyle w:val="En-tt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12A9" w14:textId="7B1E7A62" w:rsidR="00B92FAF" w:rsidRDefault="00B92FAF" w:rsidP="00551E40">
    <w:pPr>
      <w:pStyle w:val="En-tte"/>
      <w:ind w:right="360"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0551" w14:textId="5B49ED92" w:rsidR="00551E40" w:rsidRDefault="00551E40" w:rsidP="00551E40">
    <w:pPr>
      <w:pStyle w:val="En-tte"/>
      <w:jc w:val="right"/>
    </w:pPr>
    <w:r>
      <w:rPr>
        <w:noProof/>
        <w14:ligatures w14:val="standardContextual"/>
      </w:rPr>
      <w:drawing>
        <wp:inline distT="0" distB="0" distL="0" distR="0" wp14:anchorId="3E2BF080" wp14:editId="36B63F02">
          <wp:extent cx="1092200" cy="1168400"/>
          <wp:effectExtent l="0" t="0" r="0" b="0"/>
          <wp:docPr id="1323922905" name="Picture 1" descr="A blue and whit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22905" name="Picture 1" descr="A blue and white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92200" cy="11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0C9"/>
    <w:multiLevelType w:val="hybridMultilevel"/>
    <w:tmpl w:val="8872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F62C3"/>
    <w:multiLevelType w:val="hybridMultilevel"/>
    <w:tmpl w:val="5E84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1423"/>
    <w:multiLevelType w:val="hybridMultilevel"/>
    <w:tmpl w:val="88ACA4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EA30D8"/>
    <w:multiLevelType w:val="hybridMultilevel"/>
    <w:tmpl w:val="2344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818B7"/>
    <w:multiLevelType w:val="hybridMultilevel"/>
    <w:tmpl w:val="D7660F9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F5B37D7"/>
    <w:multiLevelType w:val="hybridMultilevel"/>
    <w:tmpl w:val="0718A26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5AD0E21"/>
    <w:multiLevelType w:val="hybridMultilevel"/>
    <w:tmpl w:val="90FC7AFE"/>
    <w:lvl w:ilvl="0" w:tplc="DF7C1E64">
      <w:start w:val="1"/>
      <w:numFmt w:val="decimal"/>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F6163A"/>
    <w:multiLevelType w:val="hybridMultilevel"/>
    <w:tmpl w:val="ADA4FC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17E5D44"/>
    <w:multiLevelType w:val="hybridMultilevel"/>
    <w:tmpl w:val="9B82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E2DA1"/>
    <w:multiLevelType w:val="hybridMultilevel"/>
    <w:tmpl w:val="52B6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25DA7"/>
    <w:multiLevelType w:val="hybridMultilevel"/>
    <w:tmpl w:val="14AC6D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A0F019F"/>
    <w:multiLevelType w:val="hybridMultilevel"/>
    <w:tmpl w:val="C434AA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4164262"/>
    <w:multiLevelType w:val="hybridMultilevel"/>
    <w:tmpl w:val="A4D4DE5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BAF4B44"/>
    <w:multiLevelType w:val="hybridMultilevel"/>
    <w:tmpl w:val="62FC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F6C10"/>
    <w:multiLevelType w:val="hybridMultilevel"/>
    <w:tmpl w:val="E63C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806ED"/>
    <w:multiLevelType w:val="hybridMultilevel"/>
    <w:tmpl w:val="C8C0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62176"/>
    <w:multiLevelType w:val="hybridMultilevel"/>
    <w:tmpl w:val="D310B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26E079B"/>
    <w:multiLevelType w:val="hybridMultilevel"/>
    <w:tmpl w:val="E1CAC1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6C207C2"/>
    <w:multiLevelType w:val="hybridMultilevel"/>
    <w:tmpl w:val="A10005B8"/>
    <w:lvl w:ilvl="0" w:tplc="08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7367FC9"/>
    <w:multiLevelType w:val="hybridMultilevel"/>
    <w:tmpl w:val="966883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835436B"/>
    <w:multiLevelType w:val="hybridMultilevel"/>
    <w:tmpl w:val="5EA8BF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14B4DA1"/>
    <w:multiLevelType w:val="hybridMultilevel"/>
    <w:tmpl w:val="C3C6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B68FA"/>
    <w:multiLevelType w:val="hybridMultilevel"/>
    <w:tmpl w:val="39A255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79E661C"/>
    <w:multiLevelType w:val="hybridMultilevel"/>
    <w:tmpl w:val="1180AE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01470BE"/>
    <w:multiLevelType w:val="hybridMultilevel"/>
    <w:tmpl w:val="E814C7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3FF5691"/>
    <w:multiLevelType w:val="hybridMultilevel"/>
    <w:tmpl w:val="6DF6F6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5FB7068"/>
    <w:multiLevelType w:val="hybridMultilevel"/>
    <w:tmpl w:val="18CCD248"/>
    <w:lvl w:ilvl="0" w:tplc="A978DAFC">
      <w:start w:val="1"/>
      <w:numFmt w:val="decimal"/>
      <w:lvlText w:val="%1."/>
      <w:lvlJc w:val="left"/>
      <w:pPr>
        <w:ind w:left="1073" w:hanging="356"/>
      </w:pPr>
      <w:rPr>
        <w:rFonts w:ascii="Arial MT" w:eastAsia="Arial MT" w:hAnsi="Arial MT" w:cs="Arial MT" w:hint="default"/>
        <w:b w:val="0"/>
        <w:bCs w:val="0"/>
        <w:i w:val="0"/>
        <w:iCs w:val="0"/>
        <w:spacing w:val="0"/>
        <w:w w:val="100"/>
        <w:sz w:val="24"/>
        <w:szCs w:val="24"/>
        <w:lang w:val="en-US" w:eastAsia="en-US" w:bidi="ar-SA"/>
      </w:rPr>
    </w:lvl>
    <w:lvl w:ilvl="1" w:tplc="781C3756">
      <w:numFmt w:val="bullet"/>
      <w:lvlText w:val=""/>
      <w:lvlJc w:val="left"/>
      <w:pPr>
        <w:ind w:left="1073" w:hanging="356"/>
      </w:pPr>
      <w:rPr>
        <w:rFonts w:ascii="Symbol" w:eastAsia="Symbol" w:hAnsi="Symbol" w:cs="Symbol" w:hint="default"/>
        <w:b w:val="0"/>
        <w:bCs w:val="0"/>
        <w:i w:val="0"/>
        <w:iCs w:val="0"/>
        <w:spacing w:val="0"/>
        <w:w w:val="100"/>
        <w:sz w:val="24"/>
        <w:szCs w:val="24"/>
        <w:lang w:val="en-US" w:eastAsia="en-US" w:bidi="ar-SA"/>
      </w:rPr>
    </w:lvl>
    <w:lvl w:ilvl="2" w:tplc="359035A6">
      <w:numFmt w:val="bullet"/>
      <w:lvlText w:val="•"/>
      <w:lvlJc w:val="left"/>
      <w:pPr>
        <w:ind w:left="2880" w:hanging="356"/>
      </w:pPr>
      <w:rPr>
        <w:rFonts w:hint="default"/>
        <w:lang w:val="en-US" w:eastAsia="en-US" w:bidi="ar-SA"/>
      </w:rPr>
    </w:lvl>
    <w:lvl w:ilvl="3" w:tplc="990CC9BE">
      <w:numFmt w:val="bullet"/>
      <w:lvlText w:val="•"/>
      <w:lvlJc w:val="left"/>
      <w:pPr>
        <w:ind w:left="3780" w:hanging="356"/>
      </w:pPr>
      <w:rPr>
        <w:rFonts w:hint="default"/>
        <w:lang w:val="en-US" w:eastAsia="en-US" w:bidi="ar-SA"/>
      </w:rPr>
    </w:lvl>
    <w:lvl w:ilvl="4" w:tplc="2A94C7CC">
      <w:numFmt w:val="bullet"/>
      <w:lvlText w:val="•"/>
      <w:lvlJc w:val="left"/>
      <w:pPr>
        <w:ind w:left="4680" w:hanging="356"/>
      </w:pPr>
      <w:rPr>
        <w:rFonts w:hint="default"/>
        <w:lang w:val="en-US" w:eastAsia="en-US" w:bidi="ar-SA"/>
      </w:rPr>
    </w:lvl>
    <w:lvl w:ilvl="5" w:tplc="5AD4E6F6">
      <w:numFmt w:val="bullet"/>
      <w:lvlText w:val="•"/>
      <w:lvlJc w:val="left"/>
      <w:pPr>
        <w:ind w:left="5580" w:hanging="356"/>
      </w:pPr>
      <w:rPr>
        <w:rFonts w:hint="default"/>
        <w:lang w:val="en-US" w:eastAsia="en-US" w:bidi="ar-SA"/>
      </w:rPr>
    </w:lvl>
    <w:lvl w:ilvl="6" w:tplc="1396ACCA">
      <w:numFmt w:val="bullet"/>
      <w:lvlText w:val="•"/>
      <w:lvlJc w:val="left"/>
      <w:pPr>
        <w:ind w:left="6480" w:hanging="356"/>
      </w:pPr>
      <w:rPr>
        <w:rFonts w:hint="default"/>
        <w:lang w:val="en-US" w:eastAsia="en-US" w:bidi="ar-SA"/>
      </w:rPr>
    </w:lvl>
    <w:lvl w:ilvl="7" w:tplc="75E8D31C">
      <w:numFmt w:val="bullet"/>
      <w:lvlText w:val="•"/>
      <w:lvlJc w:val="left"/>
      <w:pPr>
        <w:ind w:left="7380" w:hanging="356"/>
      </w:pPr>
      <w:rPr>
        <w:rFonts w:hint="default"/>
        <w:lang w:val="en-US" w:eastAsia="en-US" w:bidi="ar-SA"/>
      </w:rPr>
    </w:lvl>
    <w:lvl w:ilvl="8" w:tplc="6BF4F852">
      <w:numFmt w:val="bullet"/>
      <w:lvlText w:val="•"/>
      <w:lvlJc w:val="left"/>
      <w:pPr>
        <w:ind w:left="8280" w:hanging="356"/>
      </w:pPr>
      <w:rPr>
        <w:rFonts w:hint="default"/>
        <w:lang w:val="en-US" w:eastAsia="en-US" w:bidi="ar-SA"/>
      </w:rPr>
    </w:lvl>
  </w:abstractNum>
  <w:abstractNum w:abstractNumId="27" w15:restartNumberingAfterBreak="0">
    <w:nsid w:val="78227FB0"/>
    <w:multiLevelType w:val="hybridMultilevel"/>
    <w:tmpl w:val="A8C057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9911088"/>
    <w:multiLevelType w:val="hybridMultilevel"/>
    <w:tmpl w:val="B89254AA"/>
    <w:lvl w:ilvl="0" w:tplc="5ED0EE42">
      <w:start w:val="1"/>
      <w:numFmt w:val="bullet"/>
      <w:pStyle w:val="Paragraphedeliste"/>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57422">
    <w:abstractNumId w:val="10"/>
  </w:num>
  <w:num w:numId="2" w16cid:durableId="680277345">
    <w:abstractNumId w:val="17"/>
  </w:num>
  <w:num w:numId="3" w16cid:durableId="1971788122">
    <w:abstractNumId w:val="12"/>
  </w:num>
  <w:num w:numId="4" w16cid:durableId="1020547021">
    <w:abstractNumId w:val="25"/>
  </w:num>
  <w:num w:numId="5" w16cid:durableId="1127771515">
    <w:abstractNumId w:val="20"/>
  </w:num>
  <w:num w:numId="6" w16cid:durableId="192696492">
    <w:abstractNumId w:val="11"/>
  </w:num>
  <w:num w:numId="7" w16cid:durableId="142553028">
    <w:abstractNumId w:val="16"/>
  </w:num>
  <w:num w:numId="8" w16cid:durableId="731540431">
    <w:abstractNumId w:val="22"/>
  </w:num>
  <w:num w:numId="9" w16cid:durableId="1177041153">
    <w:abstractNumId w:val="18"/>
  </w:num>
  <w:num w:numId="10" w16cid:durableId="1636257341">
    <w:abstractNumId w:val="7"/>
  </w:num>
  <w:num w:numId="11" w16cid:durableId="711998711">
    <w:abstractNumId w:val="4"/>
  </w:num>
  <w:num w:numId="12" w16cid:durableId="450786962">
    <w:abstractNumId w:val="2"/>
  </w:num>
  <w:num w:numId="13" w16cid:durableId="1612544500">
    <w:abstractNumId w:val="23"/>
  </w:num>
  <w:num w:numId="14" w16cid:durableId="866332905">
    <w:abstractNumId w:val="3"/>
  </w:num>
  <w:num w:numId="15" w16cid:durableId="1849757409">
    <w:abstractNumId w:val="1"/>
  </w:num>
  <w:num w:numId="16" w16cid:durableId="1862157401">
    <w:abstractNumId w:val="14"/>
  </w:num>
  <w:num w:numId="17" w16cid:durableId="1144815164">
    <w:abstractNumId w:val="28"/>
  </w:num>
  <w:num w:numId="18" w16cid:durableId="2014338381">
    <w:abstractNumId w:val="5"/>
  </w:num>
  <w:num w:numId="19" w16cid:durableId="498354173">
    <w:abstractNumId w:val="24"/>
  </w:num>
  <w:num w:numId="20" w16cid:durableId="1268344013">
    <w:abstractNumId w:val="19"/>
  </w:num>
  <w:num w:numId="21" w16cid:durableId="345715317">
    <w:abstractNumId w:val="26"/>
  </w:num>
  <w:num w:numId="22" w16cid:durableId="417101062">
    <w:abstractNumId w:val="6"/>
  </w:num>
  <w:num w:numId="23" w16cid:durableId="458687994">
    <w:abstractNumId w:val="27"/>
  </w:num>
  <w:num w:numId="24" w16cid:durableId="457726026">
    <w:abstractNumId w:val="13"/>
  </w:num>
  <w:num w:numId="25" w16cid:durableId="749816613">
    <w:abstractNumId w:val="0"/>
  </w:num>
  <w:num w:numId="26" w16cid:durableId="468934433">
    <w:abstractNumId w:val="15"/>
  </w:num>
  <w:num w:numId="27" w16cid:durableId="62529969">
    <w:abstractNumId w:val="8"/>
  </w:num>
  <w:num w:numId="28" w16cid:durableId="1430388896">
    <w:abstractNumId w:val="9"/>
  </w:num>
  <w:num w:numId="29" w16cid:durableId="2673960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4F"/>
    <w:rsid w:val="000156F7"/>
    <w:rsid w:val="00057812"/>
    <w:rsid w:val="00060F4E"/>
    <w:rsid w:val="00061F90"/>
    <w:rsid w:val="00065EB3"/>
    <w:rsid w:val="00080FD7"/>
    <w:rsid w:val="00091EE4"/>
    <w:rsid w:val="000A7D9E"/>
    <w:rsid w:val="000C18A5"/>
    <w:rsid w:val="000D7E0C"/>
    <w:rsid w:val="00106E96"/>
    <w:rsid w:val="00130D3C"/>
    <w:rsid w:val="0015059F"/>
    <w:rsid w:val="0015578D"/>
    <w:rsid w:val="00161A79"/>
    <w:rsid w:val="0016380E"/>
    <w:rsid w:val="00180579"/>
    <w:rsid w:val="0018701E"/>
    <w:rsid w:val="001A6DAE"/>
    <w:rsid w:val="001B0033"/>
    <w:rsid w:val="001D5341"/>
    <w:rsid w:val="001F6D9B"/>
    <w:rsid w:val="00200F9F"/>
    <w:rsid w:val="00220DB9"/>
    <w:rsid w:val="002731A5"/>
    <w:rsid w:val="00287101"/>
    <w:rsid w:val="002A2C27"/>
    <w:rsid w:val="002F225B"/>
    <w:rsid w:val="0034664F"/>
    <w:rsid w:val="0038018C"/>
    <w:rsid w:val="003C6260"/>
    <w:rsid w:val="003C6CF0"/>
    <w:rsid w:val="003D1B13"/>
    <w:rsid w:val="003D318E"/>
    <w:rsid w:val="003D6E28"/>
    <w:rsid w:val="003F36D8"/>
    <w:rsid w:val="003F6DF0"/>
    <w:rsid w:val="00400D3D"/>
    <w:rsid w:val="00410C85"/>
    <w:rsid w:val="00412EFC"/>
    <w:rsid w:val="0042078B"/>
    <w:rsid w:val="00420A89"/>
    <w:rsid w:val="00420B6B"/>
    <w:rsid w:val="00420C4C"/>
    <w:rsid w:val="00446023"/>
    <w:rsid w:val="0044713E"/>
    <w:rsid w:val="0047749A"/>
    <w:rsid w:val="00481A13"/>
    <w:rsid w:val="004B652C"/>
    <w:rsid w:val="004E6361"/>
    <w:rsid w:val="00531486"/>
    <w:rsid w:val="00541E9E"/>
    <w:rsid w:val="00542A0B"/>
    <w:rsid w:val="00551A60"/>
    <w:rsid w:val="00551E40"/>
    <w:rsid w:val="005932D5"/>
    <w:rsid w:val="00595768"/>
    <w:rsid w:val="00597623"/>
    <w:rsid w:val="005977E4"/>
    <w:rsid w:val="005C5D37"/>
    <w:rsid w:val="00602E7A"/>
    <w:rsid w:val="00612B50"/>
    <w:rsid w:val="00614F23"/>
    <w:rsid w:val="00634085"/>
    <w:rsid w:val="0064149A"/>
    <w:rsid w:val="00666746"/>
    <w:rsid w:val="006725F9"/>
    <w:rsid w:val="00674981"/>
    <w:rsid w:val="00685B15"/>
    <w:rsid w:val="00687B10"/>
    <w:rsid w:val="006924AD"/>
    <w:rsid w:val="00694DFA"/>
    <w:rsid w:val="006959D7"/>
    <w:rsid w:val="006B1D5F"/>
    <w:rsid w:val="006C270A"/>
    <w:rsid w:val="006D6BD3"/>
    <w:rsid w:val="00735575"/>
    <w:rsid w:val="0073724B"/>
    <w:rsid w:val="00770CD0"/>
    <w:rsid w:val="00770F67"/>
    <w:rsid w:val="0077233F"/>
    <w:rsid w:val="00781159"/>
    <w:rsid w:val="00795177"/>
    <w:rsid w:val="00852311"/>
    <w:rsid w:val="0085372E"/>
    <w:rsid w:val="00882B53"/>
    <w:rsid w:val="008A3539"/>
    <w:rsid w:val="008A470D"/>
    <w:rsid w:val="008B233F"/>
    <w:rsid w:val="008B78CC"/>
    <w:rsid w:val="008D6059"/>
    <w:rsid w:val="008E3F1A"/>
    <w:rsid w:val="008F79F1"/>
    <w:rsid w:val="00917C6D"/>
    <w:rsid w:val="009320B6"/>
    <w:rsid w:val="00936096"/>
    <w:rsid w:val="00943BA1"/>
    <w:rsid w:val="00945390"/>
    <w:rsid w:val="00957E12"/>
    <w:rsid w:val="00964777"/>
    <w:rsid w:val="0096647D"/>
    <w:rsid w:val="00985FFE"/>
    <w:rsid w:val="009A6FC9"/>
    <w:rsid w:val="009D25EB"/>
    <w:rsid w:val="00A10A65"/>
    <w:rsid w:val="00A12B2D"/>
    <w:rsid w:val="00A1465B"/>
    <w:rsid w:val="00A20A43"/>
    <w:rsid w:val="00A511BB"/>
    <w:rsid w:val="00A557A3"/>
    <w:rsid w:val="00A62B7C"/>
    <w:rsid w:val="00A817B5"/>
    <w:rsid w:val="00AB7C5F"/>
    <w:rsid w:val="00AD2E48"/>
    <w:rsid w:val="00AD6D63"/>
    <w:rsid w:val="00AE3785"/>
    <w:rsid w:val="00AF215D"/>
    <w:rsid w:val="00B24A4E"/>
    <w:rsid w:val="00B43EBF"/>
    <w:rsid w:val="00B92FAF"/>
    <w:rsid w:val="00BA09B1"/>
    <w:rsid w:val="00BA11C6"/>
    <w:rsid w:val="00BA62C8"/>
    <w:rsid w:val="00BB2614"/>
    <w:rsid w:val="00BD612C"/>
    <w:rsid w:val="00BD7001"/>
    <w:rsid w:val="00BF5238"/>
    <w:rsid w:val="00BF6781"/>
    <w:rsid w:val="00C17DAA"/>
    <w:rsid w:val="00C727CD"/>
    <w:rsid w:val="00C7322D"/>
    <w:rsid w:val="00C735C8"/>
    <w:rsid w:val="00C82159"/>
    <w:rsid w:val="00C94D25"/>
    <w:rsid w:val="00CC318C"/>
    <w:rsid w:val="00CC624D"/>
    <w:rsid w:val="00CE1A20"/>
    <w:rsid w:val="00D046A0"/>
    <w:rsid w:val="00D05F70"/>
    <w:rsid w:val="00D10FC1"/>
    <w:rsid w:val="00D24490"/>
    <w:rsid w:val="00D4095E"/>
    <w:rsid w:val="00D41C6B"/>
    <w:rsid w:val="00D50D49"/>
    <w:rsid w:val="00D65CF1"/>
    <w:rsid w:val="00D825AB"/>
    <w:rsid w:val="00D923FB"/>
    <w:rsid w:val="00DA2433"/>
    <w:rsid w:val="00DB123D"/>
    <w:rsid w:val="00DB2ECC"/>
    <w:rsid w:val="00DB3691"/>
    <w:rsid w:val="00DD5B70"/>
    <w:rsid w:val="00DF1911"/>
    <w:rsid w:val="00DF6C5C"/>
    <w:rsid w:val="00E16A81"/>
    <w:rsid w:val="00E268EA"/>
    <w:rsid w:val="00E340FE"/>
    <w:rsid w:val="00E4192F"/>
    <w:rsid w:val="00E47AE8"/>
    <w:rsid w:val="00E76B36"/>
    <w:rsid w:val="00E9205F"/>
    <w:rsid w:val="00E933E5"/>
    <w:rsid w:val="00EB2BD3"/>
    <w:rsid w:val="00ED2007"/>
    <w:rsid w:val="00ED2843"/>
    <w:rsid w:val="00ED68A0"/>
    <w:rsid w:val="00EE0303"/>
    <w:rsid w:val="00EF3192"/>
    <w:rsid w:val="00EF703C"/>
    <w:rsid w:val="00F22590"/>
    <w:rsid w:val="00F275BC"/>
    <w:rsid w:val="00F34D3F"/>
    <w:rsid w:val="00F81906"/>
    <w:rsid w:val="00F91233"/>
    <w:rsid w:val="00FA53F2"/>
    <w:rsid w:val="00FB1353"/>
    <w:rsid w:val="00FC3103"/>
    <w:rsid w:val="00FC343C"/>
    <w:rsid w:val="00FC5078"/>
    <w:rsid w:val="00FC78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3EC4"/>
  <w15:chartTrackingRefBased/>
  <w15:docId w15:val="{E2E24FCC-0893-49A1-A400-77624AD1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64F"/>
    <w:pPr>
      <w:spacing w:after="200" w:line="288" w:lineRule="auto"/>
    </w:pPr>
    <w:rPr>
      <w:rFonts w:eastAsiaTheme="minorEastAsia"/>
      <w:iCs/>
      <w:kern w:val="0"/>
      <w:sz w:val="21"/>
      <w:szCs w:val="21"/>
      <w:lang w:val="de-AT"/>
      <w14:ligatures w14:val="none"/>
    </w:rPr>
  </w:style>
  <w:style w:type="paragraph" w:styleId="Titre1">
    <w:name w:val="heading 1"/>
    <w:basedOn w:val="Normal"/>
    <w:next w:val="Normal"/>
    <w:link w:val="Titre1Car"/>
    <w:uiPriority w:val="9"/>
    <w:qFormat/>
    <w:rsid w:val="0034664F"/>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Titre2">
    <w:name w:val="heading 2"/>
    <w:basedOn w:val="Normal"/>
    <w:next w:val="Normal"/>
    <w:link w:val="Titre2Car"/>
    <w:uiPriority w:val="9"/>
    <w:unhideWhenUsed/>
    <w:qFormat/>
    <w:rsid w:val="00C727CD"/>
    <w:pPr>
      <w:keepNext/>
      <w:keepLines/>
      <w:numPr>
        <w:numId w:val="22"/>
      </w:numPr>
      <w:spacing w:before="40" w:after="120"/>
      <w:ind w:left="714" w:hanging="357"/>
      <w:outlineLvl w:val="1"/>
    </w:pPr>
    <w:rPr>
      <w:rFonts w:ascii="Arial" w:eastAsiaTheme="majorEastAsia" w:hAnsi="Arial" w:cstheme="majorBidi"/>
      <w:b/>
      <w:color w:val="2F5496" w:themeColor="accent1" w:themeShade="BF"/>
      <w:sz w:val="28"/>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64F"/>
    <w:rPr>
      <w:rFonts w:asciiTheme="majorHAnsi" w:eastAsiaTheme="minorEastAsia" w:hAnsiTheme="majorHAnsi"/>
      <w:iCs/>
      <w:color w:val="FFFFFF"/>
      <w:kern w:val="0"/>
      <w:sz w:val="28"/>
      <w:szCs w:val="38"/>
      <w:shd w:val="clear" w:color="auto" w:fill="4472C4" w:themeFill="accent1"/>
      <w:lang w:val="de-AT"/>
      <w14:ligatures w14:val="none"/>
    </w:rPr>
  </w:style>
  <w:style w:type="paragraph" w:styleId="En-tte">
    <w:name w:val="header"/>
    <w:basedOn w:val="Normal"/>
    <w:link w:val="En-tteCar"/>
    <w:uiPriority w:val="99"/>
    <w:unhideWhenUsed/>
    <w:rsid w:val="0034664F"/>
    <w:pPr>
      <w:tabs>
        <w:tab w:val="center" w:pos="4536"/>
        <w:tab w:val="right" w:pos="9072"/>
      </w:tabs>
    </w:pPr>
  </w:style>
  <w:style w:type="character" w:customStyle="1" w:styleId="En-tteCar">
    <w:name w:val="En-tête Car"/>
    <w:basedOn w:val="Policepardfaut"/>
    <w:link w:val="En-tte"/>
    <w:uiPriority w:val="99"/>
    <w:rsid w:val="0034664F"/>
    <w:rPr>
      <w:rFonts w:eastAsiaTheme="minorEastAsia"/>
      <w:iCs/>
      <w:kern w:val="0"/>
      <w:sz w:val="21"/>
      <w:szCs w:val="21"/>
      <w:lang w:val="de-AT"/>
      <w14:ligatures w14:val="none"/>
    </w:rPr>
  </w:style>
  <w:style w:type="paragraph" w:styleId="Pieddepage">
    <w:name w:val="footer"/>
    <w:basedOn w:val="Normal"/>
    <w:link w:val="PieddepageCar"/>
    <w:uiPriority w:val="99"/>
    <w:unhideWhenUsed/>
    <w:rsid w:val="0034664F"/>
    <w:pPr>
      <w:tabs>
        <w:tab w:val="center" w:pos="4536"/>
        <w:tab w:val="right" w:pos="9072"/>
      </w:tabs>
    </w:pPr>
  </w:style>
  <w:style w:type="character" w:customStyle="1" w:styleId="PieddepageCar">
    <w:name w:val="Pied de page Car"/>
    <w:basedOn w:val="Policepardfaut"/>
    <w:link w:val="Pieddepage"/>
    <w:uiPriority w:val="99"/>
    <w:rsid w:val="0034664F"/>
    <w:rPr>
      <w:rFonts w:eastAsiaTheme="minorEastAsia"/>
      <w:iCs/>
      <w:kern w:val="0"/>
      <w:sz w:val="21"/>
      <w:szCs w:val="21"/>
      <w:lang w:val="de-AT"/>
      <w14:ligatures w14:val="none"/>
    </w:rPr>
  </w:style>
  <w:style w:type="character" w:styleId="Lienhypertexte">
    <w:name w:val="Hyperlink"/>
    <w:basedOn w:val="Policepardfaut"/>
    <w:uiPriority w:val="99"/>
    <w:unhideWhenUsed/>
    <w:rsid w:val="0034664F"/>
    <w:rPr>
      <w:color w:val="0563C1" w:themeColor="hyperlink"/>
      <w:u w:val="single"/>
    </w:rPr>
  </w:style>
  <w:style w:type="paragraph" w:styleId="Notedebasdepage">
    <w:name w:val="footnote text"/>
    <w:basedOn w:val="Normal"/>
    <w:link w:val="NotedebasdepageCar"/>
    <w:uiPriority w:val="99"/>
    <w:semiHidden/>
    <w:unhideWhenUsed/>
    <w:rsid w:val="0034664F"/>
    <w:rPr>
      <w:sz w:val="20"/>
      <w:szCs w:val="20"/>
    </w:rPr>
  </w:style>
  <w:style w:type="character" w:customStyle="1" w:styleId="NotedebasdepageCar">
    <w:name w:val="Note de bas de page Car"/>
    <w:basedOn w:val="Policepardfaut"/>
    <w:link w:val="Notedebasdepage"/>
    <w:uiPriority w:val="99"/>
    <w:semiHidden/>
    <w:rsid w:val="0034664F"/>
    <w:rPr>
      <w:rFonts w:eastAsiaTheme="minorEastAsia"/>
      <w:iCs/>
      <w:kern w:val="0"/>
      <w:sz w:val="20"/>
      <w:szCs w:val="20"/>
      <w:lang w:val="de-AT"/>
      <w14:ligatures w14:val="none"/>
    </w:rPr>
  </w:style>
  <w:style w:type="character" w:styleId="Appelnotedebasdep">
    <w:name w:val="footnote reference"/>
    <w:basedOn w:val="Policepardfaut"/>
    <w:uiPriority w:val="99"/>
    <w:semiHidden/>
    <w:unhideWhenUsed/>
    <w:rsid w:val="0034664F"/>
    <w:rPr>
      <w:vertAlign w:val="superscript"/>
    </w:rPr>
  </w:style>
  <w:style w:type="paragraph" w:styleId="Paragraphedeliste">
    <w:name w:val="List Paragraph"/>
    <w:basedOn w:val="Normal"/>
    <w:uiPriority w:val="34"/>
    <w:qFormat/>
    <w:rsid w:val="0034664F"/>
    <w:pPr>
      <w:numPr>
        <w:numId w:val="17"/>
      </w:numPr>
      <w:contextualSpacing/>
    </w:pPr>
    <w:rPr>
      <w:sz w:val="22"/>
    </w:rPr>
  </w:style>
  <w:style w:type="character" w:styleId="Numrodepage">
    <w:name w:val="page number"/>
    <w:basedOn w:val="Policepardfaut"/>
    <w:uiPriority w:val="99"/>
    <w:semiHidden/>
    <w:unhideWhenUsed/>
    <w:rsid w:val="0034664F"/>
  </w:style>
  <w:style w:type="paragraph" w:styleId="Sansinterligne">
    <w:name w:val="No Spacing"/>
    <w:basedOn w:val="Normal"/>
    <w:link w:val="SansinterligneCar"/>
    <w:uiPriority w:val="1"/>
    <w:qFormat/>
    <w:rsid w:val="0034664F"/>
    <w:pPr>
      <w:spacing w:after="0" w:line="240" w:lineRule="auto"/>
    </w:pPr>
  </w:style>
  <w:style w:type="paragraph" w:styleId="En-ttedetabledesmatires">
    <w:name w:val="TOC Heading"/>
    <w:basedOn w:val="Titre1"/>
    <w:next w:val="Normal"/>
    <w:uiPriority w:val="39"/>
    <w:unhideWhenUsed/>
    <w:qFormat/>
    <w:rsid w:val="0034664F"/>
    <w:pPr>
      <w:outlineLvl w:val="9"/>
    </w:pPr>
  </w:style>
  <w:style w:type="character" w:customStyle="1" w:styleId="SansinterligneCar">
    <w:name w:val="Sans interligne Car"/>
    <w:basedOn w:val="Policepardfaut"/>
    <w:link w:val="Sansinterligne"/>
    <w:uiPriority w:val="1"/>
    <w:rsid w:val="0034664F"/>
    <w:rPr>
      <w:rFonts w:eastAsiaTheme="minorEastAsia"/>
      <w:iCs/>
      <w:kern w:val="0"/>
      <w:sz w:val="21"/>
      <w:szCs w:val="21"/>
      <w:lang w:val="de-AT"/>
      <w14:ligatures w14:val="none"/>
    </w:rPr>
  </w:style>
  <w:style w:type="paragraph" w:styleId="TM1">
    <w:name w:val="toc 1"/>
    <w:basedOn w:val="Normal"/>
    <w:next w:val="Normal"/>
    <w:autoRedefine/>
    <w:uiPriority w:val="39"/>
    <w:unhideWhenUsed/>
    <w:rsid w:val="0034664F"/>
    <w:pPr>
      <w:tabs>
        <w:tab w:val="right" w:leader="dot" w:pos="9062"/>
      </w:tabs>
      <w:spacing w:after="100"/>
    </w:pPr>
  </w:style>
  <w:style w:type="character" w:styleId="Mentionnonrsolue">
    <w:name w:val="Unresolved Mention"/>
    <w:basedOn w:val="Policepardfaut"/>
    <w:uiPriority w:val="99"/>
    <w:semiHidden/>
    <w:unhideWhenUsed/>
    <w:rsid w:val="008A470D"/>
    <w:rPr>
      <w:color w:val="605E5C"/>
      <w:shd w:val="clear" w:color="auto" w:fill="E1DFDD"/>
    </w:rPr>
  </w:style>
  <w:style w:type="character" w:styleId="Lienhypertextesuivivisit">
    <w:name w:val="FollowedHyperlink"/>
    <w:basedOn w:val="Policepardfaut"/>
    <w:uiPriority w:val="99"/>
    <w:semiHidden/>
    <w:unhideWhenUsed/>
    <w:rsid w:val="008A470D"/>
    <w:rPr>
      <w:color w:val="954F72" w:themeColor="followedHyperlink"/>
      <w:u w:val="single"/>
    </w:rPr>
  </w:style>
  <w:style w:type="paragraph" w:styleId="Corpsdetexte">
    <w:name w:val="Body Text"/>
    <w:basedOn w:val="Normal"/>
    <w:link w:val="CorpsdetexteCar"/>
    <w:uiPriority w:val="1"/>
    <w:qFormat/>
    <w:rsid w:val="00C727CD"/>
    <w:pPr>
      <w:widowControl w:val="0"/>
      <w:autoSpaceDE w:val="0"/>
      <w:autoSpaceDN w:val="0"/>
      <w:spacing w:after="0" w:line="240" w:lineRule="auto"/>
    </w:pPr>
    <w:rPr>
      <w:rFonts w:ascii="Arial MT" w:eastAsia="Arial MT" w:hAnsi="Arial MT" w:cs="Arial MT"/>
      <w:iCs w:val="0"/>
      <w:sz w:val="24"/>
      <w:szCs w:val="24"/>
      <w:lang w:val="en-US"/>
    </w:rPr>
  </w:style>
  <w:style w:type="character" w:customStyle="1" w:styleId="CorpsdetexteCar">
    <w:name w:val="Corps de texte Car"/>
    <w:basedOn w:val="Policepardfaut"/>
    <w:link w:val="Corpsdetexte"/>
    <w:uiPriority w:val="1"/>
    <w:rsid w:val="00C727CD"/>
    <w:rPr>
      <w:rFonts w:ascii="Arial MT" w:eastAsia="Arial MT" w:hAnsi="Arial MT" w:cs="Arial MT"/>
      <w:kern w:val="0"/>
      <w:sz w:val="24"/>
      <w:szCs w:val="24"/>
      <w:lang w:val="en-US"/>
      <w14:ligatures w14:val="none"/>
    </w:rPr>
  </w:style>
  <w:style w:type="character" w:customStyle="1" w:styleId="Titre2Car">
    <w:name w:val="Titre 2 Car"/>
    <w:basedOn w:val="Policepardfaut"/>
    <w:link w:val="Titre2"/>
    <w:uiPriority w:val="9"/>
    <w:rsid w:val="00C727CD"/>
    <w:rPr>
      <w:rFonts w:ascii="Arial" w:eastAsiaTheme="majorEastAsia" w:hAnsi="Arial" w:cstheme="majorBidi"/>
      <w:b/>
      <w:iCs/>
      <w:color w:val="2F5496" w:themeColor="accent1" w:themeShade="BF"/>
      <w:kern w:val="0"/>
      <w:sz w:val="28"/>
      <w:szCs w:val="26"/>
      <w:lang w:val="de-AT"/>
      <w14:ligatures w14:val="none"/>
    </w:rPr>
  </w:style>
  <w:style w:type="paragraph" w:styleId="TM2">
    <w:name w:val="toc 2"/>
    <w:basedOn w:val="Normal"/>
    <w:next w:val="Normal"/>
    <w:autoRedefine/>
    <w:uiPriority w:val="39"/>
    <w:unhideWhenUsed/>
    <w:rsid w:val="00770CD0"/>
    <w:pPr>
      <w:spacing w:after="100"/>
      <w:ind w:left="210"/>
    </w:pPr>
  </w:style>
  <w:style w:type="paragraph" w:customStyle="1" w:styleId="p1">
    <w:name w:val="p1"/>
    <w:basedOn w:val="Normal"/>
    <w:rsid w:val="00551E40"/>
    <w:pPr>
      <w:spacing w:after="0" w:line="240" w:lineRule="auto"/>
    </w:pPr>
    <w:rPr>
      <w:rFonts w:ascii="Helvetica" w:eastAsia="Times New Roman" w:hAnsi="Helvetica" w:cs="Times New Roman"/>
      <w:iCs w:val="0"/>
      <w:color w:val="000000"/>
      <w:sz w:val="18"/>
      <w:szCs w:val="18"/>
      <w:lang w:val="en-GB" w:eastAsia="en-GB"/>
    </w:rPr>
  </w:style>
  <w:style w:type="character" w:styleId="Marquedecommentaire">
    <w:name w:val="annotation reference"/>
    <w:basedOn w:val="Policepardfaut"/>
    <w:uiPriority w:val="99"/>
    <w:semiHidden/>
    <w:unhideWhenUsed/>
    <w:rsid w:val="00DB123D"/>
    <w:rPr>
      <w:sz w:val="16"/>
      <w:szCs w:val="16"/>
    </w:rPr>
  </w:style>
  <w:style w:type="paragraph" w:styleId="Commentaire">
    <w:name w:val="annotation text"/>
    <w:basedOn w:val="Normal"/>
    <w:link w:val="CommentaireCar"/>
    <w:uiPriority w:val="99"/>
    <w:unhideWhenUsed/>
    <w:rsid w:val="00DB123D"/>
    <w:pPr>
      <w:spacing w:line="240" w:lineRule="auto"/>
    </w:pPr>
    <w:rPr>
      <w:sz w:val="20"/>
      <w:szCs w:val="20"/>
    </w:rPr>
  </w:style>
  <w:style w:type="character" w:customStyle="1" w:styleId="CommentaireCar">
    <w:name w:val="Commentaire Car"/>
    <w:basedOn w:val="Policepardfaut"/>
    <w:link w:val="Commentaire"/>
    <w:uiPriority w:val="99"/>
    <w:rsid w:val="00DB123D"/>
    <w:rPr>
      <w:rFonts w:eastAsiaTheme="minorEastAsia"/>
      <w:iCs/>
      <w:kern w:val="0"/>
      <w:sz w:val="20"/>
      <w:szCs w:val="20"/>
      <w:lang w:val="de-AT"/>
      <w14:ligatures w14:val="none"/>
    </w:rPr>
  </w:style>
  <w:style w:type="paragraph" w:styleId="Objetducommentaire">
    <w:name w:val="annotation subject"/>
    <w:basedOn w:val="Commentaire"/>
    <w:next w:val="Commentaire"/>
    <w:link w:val="ObjetducommentaireCar"/>
    <w:uiPriority w:val="99"/>
    <w:semiHidden/>
    <w:unhideWhenUsed/>
    <w:rsid w:val="00DB123D"/>
    <w:rPr>
      <w:b/>
      <w:bCs/>
    </w:rPr>
  </w:style>
  <w:style w:type="character" w:customStyle="1" w:styleId="ObjetducommentaireCar">
    <w:name w:val="Objet du commentaire Car"/>
    <w:basedOn w:val="CommentaireCar"/>
    <w:link w:val="Objetducommentaire"/>
    <w:uiPriority w:val="99"/>
    <w:semiHidden/>
    <w:rsid w:val="00DB123D"/>
    <w:rPr>
      <w:rFonts w:eastAsiaTheme="minorEastAsia"/>
      <w:b/>
      <w:bCs/>
      <w:iCs/>
      <w:kern w:val="0"/>
      <w:sz w:val="20"/>
      <w:szCs w:val="20"/>
      <w:lang w:val="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2925">
      <w:bodyDiv w:val="1"/>
      <w:marLeft w:val="0"/>
      <w:marRight w:val="0"/>
      <w:marTop w:val="0"/>
      <w:marBottom w:val="0"/>
      <w:divBdr>
        <w:top w:val="none" w:sz="0" w:space="0" w:color="auto"/>
        <w:left w:val="none" w:sz="0" w:space="0" w:color="auto"/>
        <w:bottom w:val="none" w:sz="0" w:space="0" w:color="auto"/>
        <w:right w:val="none" w:sz="0" w:space="0" w:color="auto"/>
      </w:divBdr>
    </w:div>
    <w:div w:id="632177183">
      <w:bodyDiv w:val="1"/>
      <w:marLeft w:val="0"/>
      <w:marRight w:val="0"/>
      <w:marTop w:val="0"/>
      <w:marBottom w:val="0"/>
      <w:divBdr>
        <w:top w:val="none" w:sz="0" w:space="0" w:color="auto"/>
        <w:left w:val="none" w:sz="0" w:space="0" w:color="auto"/>
        <w:bottom w:val="none" w:sz="0" w:space="0" w:color="auto"/>
        <w:right w:val="none" w:sz="0" w:space="0" w:color="auto"/>
      </w:divBdr>
    </w:div>
    <w:div w:id="8940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il.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ita.crespo-fernandez@enil.e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secretariat@enil.eu" TargetMode="External"/><Relationship Id="rId1" Type="http://schemas.openxmlformats.org/officeDocument/2006/relationships/hyperlink" Target="http://www.enil.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documents/legal-standards-and-guidelines/crpdc5-guidelines-deinstitutionalization-including" TargetMode="External"/><Relationship Id="rId13" Type="http://schemas.openxmlformats.org/officeDocument/2006/relationships/hyperlink" Target="https://enil.eu/funding/" TargetMode="External"/><Relationship Id="rId18" Type="http://schemas.openxmlformats.org/officeDocument/2006/relationships/hyperlink" Target="https://wikis.ec.europa.eu/spaces/ExactExternalWiki/pages/83689832/Leaving+no+one+behind+-+Disability+inclusion+in+EU+external+action" TargetMode="External"/><Relationship Id="rId26" Type="http://schemas.openxmlformats.org/officeDocument/2006/relationships/hyperlink" Target="https://mrosp.gov.hr/vijesti/uruceni-ugovori-za-izgradnju-18-novih-centara-za-starije-osobe-vrijedni-gotovo-160-milijuna-eura/13182" TargetMode="External"/><Relationship Id="rId3" Type="http://schemas.openxmlformats.org/officeDocument/2006/relationships/hyperlink" Target="https://view.officeapps.live.com/op/view.aspx?src=https%3A%2F%2Fenil.eu%2Fwp-content%2Fuploads%2F2025%2F04%2FConcluding-Observations-EU-Joint-statement.docx&amp;wdOrigin=BROWSELINK" TargetMode="External"/><Relationship Id="rId21" Type="http://schemas.openxmlformats.org/officeDocument/2006/relationships/hyperlink" Target="https://www.ombudsman.europa.eu/en/case/en/59363" TargetMode="External"/><Relationship Id="rId7" Type="http://schemas.openxmlformats.org/officeDocument/2006/relationships/hyperlink" Target="https://www.ohchr.org/en/documents/general-comments-and-recommendations/general-comment-no5-article-19-right-live" TargetMode="External"/><Relationship Id="rId12" Type="http://schemas.openxmlformats.org/officeDocument/2006/relationships/hyperlink" Target="https://enil.eu/wp-content/uploads/2023/12/ENIL-Briefing-on-EU-Funds-2021-2027.pdf" TargetMode="External"/><Relationship Id="rId17" Type="http://schemas.openxmlformats.org/officeDocument/2006/relationships/hyperlink" Target="https://validity.ngo/2019/11/15/ngos-take-european-commission-to-court-for-funding-segregation-of-disabled-persons-in-bulgaria/" TargetMode="External"/><Relationship Id="rId25" Type="http://schemas.openxmlformats.org/officeDocument/2006/relationships/hyperlink" Target="https://commission.europa.eu/projects/modernisation-long-term-care_en" TargetMode="External"/><Relationship Id="rId2" Type="http://schemas.openxmlformats.org/officeDocument/2006/relationships/hyperlink" Target="https://tbinternet.ohchr.org/_layouts/15/treatybodyexternal/Download.aspx?symbolno=CRPD%2FC%2FEUR%2FCO%2F2-3&amp;Lang=en" TargetMode="External"/><Relationship Id="rId16" Type="http://schemas.openxmlformats.org/officeDocument/2006/relationships/hyperlink" Target="https://enil.eu/funding/" TargetMode="External"/><Relationship Id="rId20" Type="http://schemas.openxmlformats.org/officeDocument/2006/relationships/hyperlink" Target="https://www.edf-feph.org/content/uploads/2022/02/PDF-ENIL-EDF-DI-Global-Report.pdf" TargetMode="External"/><Relationship Id="rId1" Type="http://schemas.openxmlformats.org/officeDocument/2006/relationships/hyperlink" Target="https://enil.eu/funding/" TargetMode="External"/><Relationship Id="rId6" Type="http://schemas.openxmlformats.org/officeDocument/2006/relationships/hyperlink" Target="https://employment-social-affairs.ec.europa.eu/policies-and-activities/social-protection-social-inclusion/addressing-poverty-and-supporting-social-inclusion/investing-children/european-child-guarantee_en" TargetMode="External"/><Relationship Id="rId11" Type="http://schemas.openxmlformats.org/officeDocument/2006/relationships/hyperlink" Target="https://www.eca.europa.eu/ECAPublications/SR-2023-20/SR-2023-20_EN.pdf" TargetMode="External"/><Relationship Id="rId24" Type="http://schemas.openxmlformats.org/officeDocument/2006/relationships/hyperlink" Target="https://www.granadadigital.es/junta-promueve-construccion-15-residencias-centros-dia-mayores-discapacitados-provincia/" TargetMode="External"/><Relationship Id="rId5" Type="http://schemas.openxmlformats.org/officeDocument/2006/relationships/hyperlink" Target="https://op.europa.eu/en/publication-detail/-/publication/3e1e2228-7c97-11eb-9ac9-01aa75ed71a1/language-en" TargetMode="External"/><Relationship Id="rId15" Type="http://schemas.openxmlformats.org/officeDocument/2006/relationships/hyperlink" Target="https://www.ombudsman.europa.eu/en/decision/en/200015" TargetMode="External"/><Relationship Id="rId23" Type="http://schemas.openxmlformats.org/officeDocument/2006/relationships/hyperlink" Target="https://www.eca.europa.eu/en/publications?ref=SR-2023-26" TargetMode="External"/><Relationship Id="rId10" Type="http://schemas.openxmlformats.org/officeDocument/2006/relationships/hyperlink" Target="https://european-social-fund-plus.ec.europa.eu/en/social-innovation-match/case-study/independent-life-support-model-mavi" TargetMode="External"/><Relationship Id="rId19" Type="http://schemas.openxmlformats.org/officeDocument/2006/relationships/hyperlink" Target="https://international-partnerships.ec.europa.eu/funding-and-technical-assistance/funding-instruments/global-europe-neighbourhood-development-and-international-cooperation-instrument_en" TargetMode="External"/><Relationship Id="rId4" Type="http://schemas.openxmlformats.org/officeDocument/2006/relationships/hyperlink" Target="https://eur-lex.europa.eu/eli/reg/2021/1060/oj/eng" TargetMode="External"/><Relationship Id="rId9" Type="http://schemas.openxmlformats.org/officeDocument/2006/relationships/hyperlink" Target="https://enil.eu/wp-content/uploads/2023/12/ENIL-Briefing-on-EU-Funds-2021-2027.pdf" TargetMode="External"/><Relationship Id="rId14" Type="http://schemas.openxmlformats.org/officeDocument/2006/relationships/hyperlink" Target="https://ec.europa.eu/regional_policy/sources/communication/mid-term-review-2025/communication-mid-term-review-2025_en.pdf" TargetMode="External"/><Relationship Id="rId22" Type="http://schemas.openxmlformats.org/officeDocument/2006/relationships/hyperlink" Target="https://www.ombudsman.europa.eu/en/doc/closing-note/en/17505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61B69-2942-40B6-9B5A-B1EE6C86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6350</Words>
  <Characters>34931</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Crespo</dc:creator>
  <cp:keywords/>
  <dc:description/>
  <cp:lastModifiedBy>Rita Crespo</cp:lastModifiedBy>
  <cp:revision>14</cp:revision>
  <dcterms:created xsi:type="dcterms:W3CDTF">2025-05-06T13:09:00Z</dcterms:created>
  <dcterms:modified xsi:type="dcterms:W3CDTF">2025-05-06T14:09:00Z</dcterms:modified>
</cp:coreProperties>
</file>