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MALTA</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6">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8">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9">
            <w:pPr>
              <w:jc w:val="center"/>
              <w:rPr>
                <w:rFonts w:ascii="Barlow" w:cs="Barlow" w:eastAsia="Barlow" w:hAnsi="Barlow"/>
              </w:rPr>
            </w:pPr>
            <w:r w:rsidDel="00000000" w:rsidR="00000000" w:rsidRPr="00000000">
              <w:rPr>
                <w:rFonts w:ascii="Barlow" w:cs="Barlow" w:eastAsia="Barlow" w:hAnsi="Barlow"/>
                <w:rtl w:val="0"/>
              </w:rPr>
              <w:t xml:space="preserve">2.78</w:t>
            </w:r>
          </w:p>
        </w:tc>
      </w:tr>
      <w:tr>
        <w:trPr>
          <w:cantSplit w:val="0"/>
          <w:trHeight w:val="454" w:hRule="atLeast"/>
          <w:tblHeader w:val="0"/>
        </w:trPr>
        <w:tc>
          <w:tcPr>
            <w:shd w:fill="caedfb" w:val="clear"/>
            <w:vAlign w:val="center"/>
          </w:tcPr>
          <w:p w:rsidR="00000000" w:rsidDel="00000000" w:rsidP="00000000" w:rsidRDefault="00000000" w:rsidRPr="00000000" w14:paraId="0000000A">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B">
            <w:pPr>
              <w:jc w:val="center"/>
              <w:rPr>
                <w:rFonts w:ascii="Barlow" w:cs="Barlow" w:eastAsia="Barlow" w:hAnsi="Barlow"/>
              </w:rPr>
            </w:pPr>
            <w:r w:rsidDel="00000000" w:rsidR="00000000" w:rsidRPr="00000000">
              <w:rPr>
                <w:rFonts w:ascii="Barlow" w:cs="Barlow" w:eastAsia="Barlow" w:hAnsi="Barlow"/>
                <w:rtl w:val="0"/>
              </w:rPr>
              <w:t xml:space="preserve">3.05</w:t>
            </w:r>
          </w:p>
        </w:tc>
      </w:tr>
      <w:tr>
        <w:trPr>
          <w:cantSplit w:val="0"/>
          <w:trHeight w:val="454" w:hRule="atLeast"/>
          <w:tblHeader w:val="0"/>
        </w:trPr>
        <w:tc>
          <w:tcPr>
            <w:vAlign w:val="center"/>
          </w:tcPr>
          <w:p w:rsidR="00000000" w:rsidDel="00000000" w:rsidP="00000000" w:rsidRDefault="00000000" w:rsidRPr="00000000" w14:paraId="0000000C">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D">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shd w:fill="caedfb" w:val="clear"/>
            <w:vAlign w:val="center"/>
          </w:tcPr>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0F">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vAlign w:val="center"/>
          </w:tcPr>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1">
            <w:pPr>
              <w:jc w:val="center"/>
              <w:rPr>
                <w:rFonts w:ascii="Barlow" w:cs="Barlow" w:eastAsia="Barlow" w:hAnsi="Barlow"/>
              </w:rPr>
            </w:pPr>
            <w:r w:rsidDel="00000000" w:rsidR="00000000" w:rsidRPr="00000000">
              <w:rPr>
                <w:rFonts w:ascii="Barlow" w:cs="Barlow" w:eastAsia="Barlow" w:hAnsi="Barlow"/>
                <w:rtl w:val="0"/>
              </w:rPr>
              <w:t xml:space="preserve">2.6</w:t>
            </w:r>
          </w:p>
        </w:tc>
      </w:tr>
      <w:tr>
        <w:trPr>
          <w:cantSplit w:val="0"/>
          <w:trHeight w:val="454" w:hRule="atLeast"/>
          <w:tblHeader w:val="0"/>
        </w:trPr>
        <w:tc>
          <w:tcPr>
            <w:shd w:fill="caedfb" w:val="clear"/>
            <w:vAlign w:val="center"/>
          </w:tcPr>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3">
            <w:pPr>
              <w:jc w:val="center"/>
              <w:rPr>
                <w:rFonts w:ascii="Barlow" w:cs="Barlow" w:eastAsia="Barlow" w:hAnsi="Barlow"/>
              </w:rPr>
            </w:pPr>
            <w:r w:rsidDel="00000000" w:rsidR="00000000" w:rsidRPr="00000000">
              <w:rPr>
                <w:rFonts w:ascii="Barlow" w:cs="Barlow" w:eastAsia="Barlow" w:hAnsi="Barlow"/>
                <w:rtl w:val="0"/>
              </w:rPr>
              <w:t xml:space="preserve">3.3</w:t>
            </w:r>
          </w:p>
        </w:tc>
      </w:tr>
      <w:tr>
        <w:trPr>
          <w:cantSplit w:val="0"/>
          <w:trHeight w:val="454" w:hRule="atLeast"/>
          <w:tblHeader w:val="0"/>
        </w:trPr>
        <w:tc>
          <w:tcPr>
            <w:vAlign w:val="center"/>
          </w:tcPr>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5">
            <w:pPr>
              <w:jc w:val="center"/>
              <w:rPr>
                <w:rFonts w:ascii="Barlow" w:cs="Barlow" w:eastAsia="Barlow" w:hAnsi="Barlow"/>
              </w:rPr>
            </w:pPr>
            <w:r w:rsidDel="00000000" w:rsidR="00000000" w:rsidRPr="00000000">
              <w:rPr>
                <w:rFonts w:ascii="Barlow" w:cs="Barlow" w:eastAsia="Barlow" w:hAnsi="Barlow"/>
                <w:rtl w:val="0"/>
              </w:rPr>
              <w:t xml:space="preserve">3.3</w:t>
            </w:r>
          </w:p>
        </w:tc>
      </w:tr>
      <w:tr>
        <w:trPr>
          <w:cantSplit w:val="0"/>
          <w:trHeight w:val="454" w:hRule="atLeast"/>
          <w:tblHeader w:val="0"/>
        </w:trPr>
        <w:tc>
          <w:tcPr>
            <w:shd w:fill="caedfb" w:val="clear"/>
            <w:vAlign w:val="center"/>
          </w:tcPr>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7">
            <w:pPr>
              <w:jc w:val="center"/>
              <w:rPr>
                <w:rFonts w:ascii="Barlow" w:cs="Barlow" w:eastAsia="Barlow" w:hAnsi="Barlow"/>
              </w:rPr>
            </w:pPr>
            <w:r w:rsidDel="00000000" w:rsidR="00000000" w:rsidRPr="00000000">
              <w:rPr>
                <w:rFonts w:ascii="Barlow" w:cs="Barlow" w:eastAsia="Barlow" w:hAnsi="Barlow"/>
                <w:rtl w:val="0"/>
              </w:rPr>
              <w:t xml:space="preserve">2.93</w:t>
            </w:r>
          </w:p>
        </w:tc>
      </w:tr>
      <w:tr>
        <w:trPr>
          <w:cantSplit w:val="0"/>
          <w:trHeight w:val="454" w:hRule="atLeast"/>
          <w:tblHeader w:val="0"/>
        </w:trPr>
        <w:tc>
          <w:tcPr>
            <w:vAlign w:val="center"/>
          </w:tcPr>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9">
            <w:pPr>
              <w:jc w:val="center"/>
              <w:rPr>
                <w:rFonts w:ascii="Barlow" w:cs="Barlow" w:eastAsia="Barlow" w:hAnsi="Barlow"/>
              </w:rPr>
            </w:pPr>
            <w:r w:rsidDel="00000000" w:rsidR="00000000" w:rsidRPr="00000000">
              <w:rPr>
                <w:rFonts w:ascii="Barlow" w:cs="Barlow" w:eastAsia="Barlow" w:hAnsi="Barlow"/>
                <w:rtl w:val="0"/>
              </w:rPr>
              <w:t xml:space="preserve">2.94</w:t>
            </w:r>
          </w:p>
        </w:tc>
      </w:tr>
      <w:tr>
        <w:trPr>
          <w:cantSplit w:val="0"/>
          <w:trHeight w:val="454" w:hRule="atLeast"/>
          <w:tblHeader w:val="0"/>
        </w:trPr>
        <w:tc>
          <w:tcPr>
            <w:shd w:fill="caedfb" w:val="clear"/>
            <w:vAlign w:val="center"/>
          </w:tcPr>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B">
            <w:pPr>
              <w:jc w:val="center"/>
              <w:rPr>
                <w:rFonts w:ascii="Barlow" w:cs="Barlow" w:eastAsia="Barlow" w:hAnsi="Barlow"/>
              </w:rPr>
            </w:pPr>
            <w:r w:rsidDel="00000000" w:rsidR="00000000" w:rsidRPr="00000000">
              <w:rPr>
                <w:rFonts w:ascii="Barlow" w:cs="Barlow" w:eastAsia="Barlow" w:hAnsi="Barlow"/>
                <w:rtl w:val="0"/>
              </w:rPr>
              <w:t xml:space="preserve">2.38</w:t>
            </w:r>
          </w:p>
        </w:tc>
      </w:tr>
      <w:tr>
        <w:trPr>
          <w:cantSplit w:val="0"/>
          <w:trHeight w:val="454" w:hRule="atLeast"/>
          <w:tblHeader w:val="0"/>
        </w:trPr>
        <w:tc>
          <w:tcPr>
            <w:vAlign w:val="center"/>
          </w:tcPr>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D">
            <w:pPr>
              <w:jc w:val="center"/>
              <w:rPr>
                <w:rFonts w:ascii="Barlow" w:cs="Barlow" w:eastAsia="Barlow" w:hAnsi="Barlow"/>
              </w:rPr>
            </w:pPr>
            <w:r w:rsidDel="00000000" w:rsidR="00000000" w:rsidRPr="00000000">
              <w:rPr>
                <w:rFonts w:ascii="Barlow" w:cs="Barlow" w:eastAsia="Barlow" w:hAnsi="Barlow"/>
                <w:rtl w:val="0"/>
              </w:rPr>
              <w:t xml:space="preserve">2.25</w:t>
            </w:r>
          </w:p>
        </w:tc>
      </w:tr>
      <w:tr>
        <w:trPr>
          <w:cantSplit w:val="0"/>
          <w:trHeight w:val="454" w:hRule="atLeast"/>
          <w:tblHeader w:val="0"/>
        </w:trPr>
        <w:tc>
          <w:tcPr>
            <w:shd w:fill="caedfb" w:val="clear"/>
            <w:vAlign w:val="center"/>
          </w:tcPr>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tl w:val="0"/>
              </w:rPr>
              <w:t xml:space="preserve">2.6</w:t>
            </w:r>
          </w:p>
        </w:tc>
      </w:tr>
      <w:tr>
        <w:trPr>
          <w:cantSplit w:val="0"/>
          <w:trHeight w:val="454" w:hRule="atLeast"/>
          <w:tblHeader w:val="0"/>
        </w:trPr>
        <w:tc>
          <w:tcPr>
            <w:vAlign w:val="center"/>
          </w:tcPr>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1">
            <w:pPr>
              <w:jc w:val="center"/>
              <w:rPr>
                <w:rFonts w:ascii="Barlow" w:cs="Barlow" w:eastAsia="Barlow" w:hAnsi="Barlow"/>
              </w:rPr>
            </w:pPr>
            <w:r w:rsidDel="00000000" w:rsidR="00000000" w:rsidRPr="00000000">
              <w:rPr>
                <w:rFonts w:ascii="Barlow" w:cs="Barlow" w:eastAsia="Barlow" w:hAnsi="Barlow"/>
                <w:rtl w:val="0"/>
              </w:rPr>
              <w:t xml:space="preserve">2.8</w:t>
            </w:r>
          </w:p>
        </w:tc>
      </w:tr>
      <w:tr>
        <w:trPr>
          <w:cantSplit w:val="0"/>
          <w:trHeight w:val="454" w:hRule="atLeast"/>
          <w:tblHeader w:val="0"/>
        </w:trPr>
        <w:tc>
          <w:tcPr>
            <w:shd w:fill="caedfb" w:val="clear"/>
            <w:vAlign w:val="center"/>
          </w:tcPr>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3">
            <w:pPr>
              <w:jc w:val="center"/>
              <w:rPr>
                <w:rFonts w:ascii="Barlow" w:cs="Barlow" w:eastAsia="Barlow" w:hAnsi="Barlow"/>
              </w:rPr>
            </w:pPr>
            <w:r w:rsidDel="00000000" w:rsidR="00000000" w:rsidRPr="00000000">
              <w:rPr>
                <w:rFonts w:ascii="Barlow" w:cs="Barlow" w:eastAsia="Barlow" w:hAnsi="Barlow"/>
                <w:rtl w:val="0"/>
              </w:rPr>
              <w:t xml:space="preserve">2.78</w:t>
            </w:r>
          </w:p>
        </w:tc>
      </w:tr>
      <w:tr>
        <w:trPr>
          <w:cantSplit w:val="0"/>
          <w:trHeight w:val="454" w:hRule="atLeast"/>
          <w:tblHeader w:val="0"/>
        </w:trPr>
        <w:tc>
          <w:tcPr>
            <w:shd w:fill="auto" w:val="clear"/>
            <w:vAlign w:val="center"/>
          </w:tcPr>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5">
            <w:pPr>
              <w:jc w:val="center"/>
              <w:rPr>
                <w:rFonts w:ascii="Barlow" w:cs="Barlow" w:eastAsia="Barlow" w:hAnsi="Barlow"/>
              </w:rPr>
            </w:pPr>
            <w:r w:rsidDel="00000000" w:rsidR="00000000" w:rsidRPr="00000000">
              <w:rPr>
                <w:rFonts w:ascii="Barlow" w:cs="Barlow" w:eastAsia="Barlow" w:hAnsi="Barlow"/>
                <w:rtl w:val="0"/>
              </w:rPr>
              <w:t xml:space="preserve">2.78</w:t>
            </w:r>
          </w:p>
        </w:tc>
      </w:tr>
    </w:tbl>
    <w:p w:rsidR="00000000" w:rsidDel="00000000" w:rsidP="00000000" w:rsidRDefault="00000000" w:rsidRPr="00000000" w14:paraId="00000026">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7">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color w:val="e97032"/>
          <w:sz w:val="72"/>
          <w:szCs w:val="72"/>
        </w:rPr>
      </w:pPr>
      <w:r w:rsidDel="00000000" w:rsidR="00000000" w:rsidRPr="00000000">
        <w:rPr>
          <w:rFonts w:ascii="Barlow" w:cs="Barlow" w:eastAsia="Barlow" w:hAnsi="Barlow"/>
          <w:b w:val="1"/>
          <w:color w:val="e97032"/>
          <w:sz w:val="72"/>
          <w:szCs w:val="72"/>
          <w:rtl w:val="0"/>
        </w:rPr>
        <w:t xml:space="preserve">2.8</w:t>
      </w:r>
    </w:p>
    <w:p w:rsidR="00000000" w:rsidDel="00000000" w:rsidP="00000000" w:rsidRDefault="00000000" w:rsidRPr="00000000" w14:paraId="0000002A">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3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3C">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3">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5">
            <w:pPr>
              <w:rPr>
                <w:rFonts w:ascii="Barlow" w:cs="Barlow" w:eastAsia="Barlow" w:hAnsi="Barlow"/>
              </w:rPr>
            </w:pPr>
            <w:r w:rsidDel="00000000" w:rsidR="00000000" w:rsidRPr="00000000">
              <w:rPr>
                <w:rFonts w:ascii="Barlow" w:cs="Barlow" w:eastAsia="Barlow" w:hAnsi="Barlow"/>
                <w:rtl w:val="0"/>
              </w:rPr>
              <w:t xml:space="preserve">Persons with intellectual disabilities are more likely to face discrimination. The provision of Easy-to-Read (ETR) and other accessible materials is not always ensured for neurodivergent people and individuals with intellectual impairments.</w:t>
            </w:r>
          </w:p>
        </w:tc>
      </w:tr>
    </w:tbl>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E">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vAlign w:val="center"/>
          </w:tcPr>
          <w:p w:rsidR="00000000" w:rsidDel="00000000" w:rsidP="00000000" w:rsidRDefault="00000000" w:rsidRPr="00000000" w14:paraId="00000052">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54">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56">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C">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A national consultation for a new Personal Assistance (PA) reform was launched last year. Its implementation began a year later, but in stages, as decided by the authorities. However, there is no clear information on how the reform will be implemented or when it will be fully functional.</w:t>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F">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2">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74">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76">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78">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7A">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B">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7C">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D">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07E">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80">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82">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3">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84">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A">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D">
            <w:pPr>
              <w:rPr>
                <w:rFonts w:ascii="Barlow" w:cs="Barlow" w:eastAsia="Barlow" w:hAnsi="Barlow"/>
              </w:rPr>
            </w:pPr>
            <w:r w:rsidDel="00000000" w:rsidR="00000000" w:rsidRPr="00000000">
              <w:rPr>
                <w:rFonts w:ascii="Barlow" w:cs="Barlow" w:eastAsia="Barlow" w:hAnsi="Barlow"/>
                <w:rtl w:val="0"/>
              </w:rPr>
              <w:t xml:space="preserve">Malta has a derogation regarding voting, which is currently under review. Additionally, a project on Person-Centred Justice is underway, aiming to address the challenges disabled people face within the justice system, including interactions with lawyers and court proceedings.</w:t>
            </w:r>
          </w:p>
        </w:tc>
      </w:tr>
    </w:tbl>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1">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2">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93">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vAlign w:val="center"/>
              </w:tcPr>
              <w:p w:rsidR="00000000" w:rsidDel="00000000" w:rsidP="00000000" w:rsidRDefault="00000000" w:rsidRPr="00000000" w14:paraId="00000095">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6">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9">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A">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9B">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C">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09D">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E">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9F">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0">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A1">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2">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A3">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A5">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6">
                <w:pPr>
                  <w:jc w:val="center"/>
                  <w:rPr>
                    <w:rFonts w:ascii="Barlow" w:cs="Barlow" w:eastAsia="Barlow" w:hAnsi="Barlow"/>
                  </w:rPr>
                </w:pPr>
                <w:r w:rsidDel="00000000" w:rsidR="00000000" w:rsidRPr="00000000">
                  <w:rPr>
                    <w:rFonts w:ascii="Barlow" w:cs="Barlow" w:eastAsia="Barlow" w:hAnsi="Barlow"/>
                    <w:rtl w:val="0"/>
                  </w:rPr>
                  <w:t xml:space="preserve">3</w:t>
                </w:r>
              </w:p>
            </w:tc>
          </w:tr>
        </w:tbl>
      </w:sdtContent>
    </w:sdt>
    <w:p w:rsidR="00000000" w:rsidDel="00000000" w:rsidP="00000000" w:rsidRDefault="00000000" w:rsidRPr="00000000" w14:paraId="000000A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A">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A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0">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9">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B">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C">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0BD">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0">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C1">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3">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C5">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7">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9">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B">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0CD">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F">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0">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D1">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D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B">
            <w:pPr>
              <w:rPr>
                <w:rFonts w:ascii="Barlow" w:cs="Barlow" w:eastAsia="Barlow" w:hAnsi="Barlow"/>
              </w:rPr>
            </w:pPr>
            <w:r w:rsidDel="00000000" w:rsidR="00000000" w:rsidRPr="00000000">
              <w:rPr>
                <w:rFonts w:ascii="Barlow" w:cs="Barlow" w:eastAsia="Barlow" w:hAnsi="Barlow"/>
                <w:rtl w:val="0"/>
              </w:rPr>
              <w:t xml:space="preserve">The participation of neurodivergent people is not always taken into account when organizing cultural events. Efforts are currently underway to improve inclusivity in this area.</w:t>
            </w:r>
          </w:p>
        </w:tc>
      </w:tr>
    </w:tbl>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E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E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F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3.5</w:t>
            </w:r>
          </w:p>
          <w:p w:rsidR="00000000" w:rsidDel="00000000" w:rsidP="00000000" w:rsidRDefault="00000000" w:rsidRPr="00000000" w14:paraId="000000F6">
            <w:pPr>
              <w:jc w:val="center"/>
              <w:rPr>
                <w:rFonts w:ascii="Barlow" w:cs="Barlow" w:eastAsia="Barlow" w:hAnsi="Barlow"/>
              </w:rPr>
            </w:pPr>
            <w:r w:rsidDel="00000000" w:rsidR="00000000" w:rsidRPr="00000000">
              <w:rPr>
                <w:rtl w:val="0"/>
              </w:rPr>
            </w:r>
          </w:p>
        </w:tc>
      </w:tr>
    </w:tbl>
    <w:p w:rsidR="00000000" w:rsidDel="00000000" w:rsidP="00000000" w:rsidRDefault="00000000" w:rsidRPr="00000000" w14:paraId="000000F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9">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D">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F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1">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7">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A">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0C">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0E">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10">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2">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3">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14">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6">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7">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18">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9">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11A">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B">
            <w:pPr>
              <w:jc w:val="center"/>
              <w:rPr>
                <w:rFonts w:ascii="Barlow" w:cs="Barlow" w:eastAsia="Barlow" w:hAnsi="Barlow"/>
              </w:rPr>
            </w:pPr>
            <w:r w:rsidDel="00000000" w:rsidR="00000000" w:rsidRPr="00000000">
              <w:rPr>
                <w:rFonts w:ascii="Barlow" w:cs="Barlow" w:eastAsia="Barlow" w:hAnsi="Barlow"/>
                <w:rtl w:val="0"/>
              </w:rPr>
              <w:t xml:space="preserve">3.5</w:t>
            </w:r>
          </w:p>
        </w:tc>
      </w:tr>
    </w:tbl>
    <w:p w:rsidR="00000000" w:rsidDel="00000000" w:rsidP="00000000" w:rsidRDefault="00000000" w:rsidRPr="00000000" w14:paraId="0000011C">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2">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4">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A">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D">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2F">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31">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33">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35">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6">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37">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8">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139">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A">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3B">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C">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3D">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4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3">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5">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B">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E">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0">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52">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4">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56">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7">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58">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9">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ffffff" w:val="clear"/>
            <w:vAlign w:val="center"/>
          </w:tcPr>
          <w:p w:rsidR="00000000" w:rsidDel="00000000" w:rsidP="00000000" w:rsidRDefault="00000000" w:rsidRPr="00000000" w14:paraId="0000015A">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B">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5C">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D">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15E">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F">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60">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7">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9">
            <w:pPr>
              <w:rPr>
                <w:rFonts w:ascii="Barlow" w:cs="Barlow" w:eastAsia="Barlow" w:hAnsi="Barlow"/>
              </w:rPr>
            </w:pPr>
            <w:r w:rsidDel="00000000" w:rsidR="00000000" w:rsidRPr="00000000">
              <w:rPr>
                <w:rFonts w:ascii="Barlow" w:cs="Barlow" w:eastAsia="Barlow" w:hAnsi="Barlow"/>
                <w:rtl w:val="0"/>
              </w:rPr>
              <w:t xml:space="preserve">There are differences for people with psychosocial disabilities.</w:t>
            </w:r>
          </w:p>
        </w:tc>
      </w:tr>
    </w:tbl>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E">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1">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75">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79">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7B">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2.5</w:t>
            </w:r>
          </w:p>
          <w:p w:rsidR="00000000" w:rsidDel="00000000" w:rsidP="00000000" w:rsidRDefault="00000000" w:rsidRPr="00000000" w14:paraId="0000017D">
            <w:pPr>
              <w:jc w:val="center"/>
              <w:rPr>
                <w:rFonts w:ascii="Barlow" w:cs="Barlow" w:eastAsia="Barlow" w:hAnsi="Barlow"/>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80">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82">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3">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9">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D">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F">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9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1">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7">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A">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C">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9E">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0">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A2">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4">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A8">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auto" w:val="clea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C">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0">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4">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B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6">
                <w:pPr>
                  <w:jc w:val="center"/>
                  <w:rPr>
                    <w:rFonts w:ascii="Barlow" w:cs="Barlow" w:eastAsia="Barlow" w:hAnsi="Barlow"/>
                  </w:rPr>
                </w:pPr>
                <w:r w:rsidDel="00000000" w:rsidR="00000000" w:rsidRPr="00000000">
                  <w:rPr>
                    <w:rFonts w:ascii="Barlow" w:cs="Barlow" w:eastAsia="Barlow" w:hAnsi="Barlow"/>
                    <w:rtl w:val="0"/>
                  </w:rPr>
                  <w:t xml:space="preserve">NO</w:t>
                </w:r>
              </w:p>
            </w:tc>
          </w:tr>
        </w:tbl>
      </w:sdtContent>
    </w:sdt>
    <w:p w:rsidR="00000000" w:rsidDel="00000000" w:rsidP="00000000" w:rsidRDefault="00000000" w:rsidRPr="00000000" w14:paraId="000001B7">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9">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1">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4">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6">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7">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1C8">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CA">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CC">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D">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C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F">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D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D6">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A">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D">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E">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DF">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E0">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1E1">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E3">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5">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E7">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EB">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auto" w:val="clea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EF">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0">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F1">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F8">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D">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00">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2">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204">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06">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208">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0A">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4.5</w:t>
            </w:r>
          </w:p>
        </w:tc>
      </w:tr>
      <w:tr>
        <w:trPr>
          <w:cantSplit w:val="0"/>
          <w:trHeight w:val="359" w:hRule="atLeast"/>
          <w:tblHeader w:val="0"/>
        </w:trPr>
        <w:tc>
          <w:tcPr>
            <w:shd w:fill="caedfb" w:val="clear"/>
            <w:vAlign w:val="center"/>
          </w:tcPr>
          <w:p w:rsidR="00000000" w:rsidDel="00000000" w:rsidP="00000000" w:rsidRDefault="00000000" w:rsidRPr="00000000" w14:paraId="0000020E">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auto" w:val="clea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auto"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auto"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A">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B">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21C">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2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2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2">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23">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7">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80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A">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22C">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D">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33" w:hRule="atLeast"/>
              <w:tblHeader w:val="0"/>
            </w:trPr>
            <w:tc>
              <w:tcPr>
                <w:vAlign w:val="center"/>
              </w:tcPr>
              <w:p w:rsidR="00000000" w:rsidDel="00000000" w:rsidP="00000000" w:rsidRDefault="00000000" w:rsidRPr="00000000" w14:paraId="0000022E">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230">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2">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234">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236">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7">
                <w:pPr>
                  <w:jc w:val="center"/>
                  <w:rPr>
                    <w:rFonts w:ascii="Barlow" w:cs="Barlow" w:eastAsia="Barlow" w:hAnsi="Barlow"/>
                  </w:rPr>
                </w:pPr>
                <w:r w:rsidDel="00000000" w:rsidR="00000000" w:rsidRPr="00000000">
                  <w:rPr>
                    <w:rFonts w:ascii="Barlow" w:cs="Barlow" w:eastAsia="Barlow" w:hAnsi="Barlow"/>
                    <w:rtl w:val="0"/>
                  </w:rPr>
                  <w:t xml:space="preserve">3</w:t>
                </w:r>
              </w:p>
            </w:tc>
          </w:tr>
        </w:tbl>
      </w:sdtContent>
    </w:sdt>
    <w:p w:rsidR="00000000" w:rsidDel="00000000" w:rsidP="00000000" w:rsidRDefault="00000000" w:rsidRPr="00000000" w14:paraId="00000238">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3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E">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3F">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4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1">
                <w:pPr>
                  <w:rPr>
                    <w:rFonts w:ascii="Barlow" w:cs="Barlow" w:eastAsia="Barlow" w:hAnsi="Barlow"/>
                  </w:rPr>
                </w:pPr>
                <w:r w:rsidDel="00000000" w:rsidR="00000000" w:rsidRPr="00000000">
                  <w:rPr>
                    <w:rFonts w:ascii="Barlow" w:cs="Barlow" w:eastAsia="Barlow" w:hAnsi="Barlow"/>
                    <w:rtl w:val="0"/>
                  </w:rPr>
                  <w:t xml:space="preserve">'Nothing About Us Without Us' is still not fully implemented in practice. While disabled people and their organizations are sometimes involved in the initial stages of a process, they are often excluded from later stages, limiting their ability to influence final outcomes. They may be asked for feedback but are not always present to discuss or shape the decisions based on their input.</w:t>
                </w:r>
              </w:p>
              <w:p w:rsidR="00000000" w:rsidDel="00000000" w:rsidP="00000000" w:rsidRDefault="00000000" w:rsidRPr="00000000" w14:paraId="00000242">
                <w:pPr>
                  <w:spacing w:after="240" w:before="240" w:lineRule="auto"/>
                  <w:rPr>
                    <w:rFonts w:ascii="Barlow" w:cs="Barlow" w:eastAsia="Barlow" w:hAnsi="Barlow"/>
                  </w:rPr>
                </w:pPr>
                <w:r w:rsidDel="00000000" w:rsidR="00000000" w:rsidRPr="00000000">
                  <w:rPr>
                    <w:rFonts w:ascii="Barlow" w:cs="Barlow" w:eastAsia="Barlow" w:hAnsi="Barlow"/>
                    <w:rtl w:val="0"/>
                  </w:rPr>
                  <w:t xml:space="preserve">Policy development timelines are determined by policymakers, with little transparency on when policies will be finalized and implemented. Additionally, funding continues to be allocated toward segregated services, including institutional residential homes, rather than supporting independent living. Barriers to independent living remain widespread, including inaccessible infrastructure (such as pavements, bus shelters, and public transport), lack of accessible information, the absence of a comprehensive Personal Assistance (PA) reform, no personal budgeting system, limited community-based services, and gaps in education and healthcare accessibility.</w:t>
                </w:r>
              </w:p>
            </w:tc>
          </w:tr>
        </w:tbl>
      </w:sdtContent>
    </w:sdt>
    <w:p w:rsidR="00000000" w:rsidDel="00000000" w:rsidP="00000000" w:rsidRDefault="00000000" w:rsidRPr="00000000" w14:paraId="00000243">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15"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5">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B6C0xdpWA62kMjgTG+DyPJrqg==">CgMxLjAaHwoBMBIaChgICVIUChJ0YWJsZS5pdXg1anZkbWZrb3kaHwoBMRIaChgICVIUChJ0YWJsZS5wZXJmb3k5emIxcXEaHwoBMhIaChgICVIUChJ0YWJsZS5haHNqOGhoNW9vbWwaHwoBMxIaChgICVIUChJ0YWJsZS5vZ21lMXBhZGNla3caHwoBNBIaChgICVIUChJ0YWJsZS42YWszZHY5ang3M3Q4AHIhMU5CRnhRYzlnTlNWSkZ4UEhraVZFQjJxZ1VaOEhBRHdi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