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MONTENEGRO</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1.28</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1.88</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1.55</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2.09</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1.4</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1.62</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1.66</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1.3</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1.4</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1.4</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2.27</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1.35</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1.14</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ff0000"/>
          <w:sz w:val="72"/>
          <w:szCs w:val="72"/>
        </w:rPr>
      </w:pPr>
      <w:r w:rsidDel="00000000" w:rsidR="00000000" w:rsidRPr="00000000">
        <w:rPr>
          <w:rFonts w:ascii="Barlow" w:cs="Barlow" w:eastAsia="Barlow" w:hAnsi="Barlow"/>
          <w:b w:val="1"/>
          <w:color w:val="ff0000"/>
          <w:sz w:val="72"/>
          <w:szCs w:val="72"/>
          <w:rtl w:val="0"/>
        </w:rPr>
        <w:t xml:space="preserve">1.7</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​​As the CRPD is legally binding and takes precedence in implementation according to the Constitution of Montenegro, Article 23 should be directly implemented. However, this is not the case in practice. Still, Article 23 of the CRPD could be used as a legal basis for seeking court protection. To date, there has only been one court proceeding regarding the protection of individuals from disability-based discrimination in this field.</w:t>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50">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5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5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53">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5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5">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9">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B">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D">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F">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6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61">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6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63">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6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7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7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7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73">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7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5">
            <w:pPr>
              <w:rPr>
                <w:rFonts w:ascii="Barlow" w:cs="Barlow" w:eastAsia="Barlow" w:hAnsi="Barlow"/>
              </w:rPr>
            </w:pPr>
            <w:r w:rsidDel="00000000" w:rsidR="00000000" w:rsidRPr="00000000">
              <w:rPr>
                <w:rFonts w:ascii="Barlow" w:cs="Barlow" w:eastAsia="Barlow" w:hAnsi="Barlow"/>
                <w:rtl w:val="0"/>
              </w:rPr>
              <w:t xml:space="preserve">Personal Assistance (PA) and its cost are regulated by national authorities, but wage rates vary significantly between the northern and southern regions. As a result, the amount funded by the state budget is insufficient to cover even a few hours of service per day.</w:t>
            </w:r>
          </w:p>
          <w:p w:rsidR="00000000" w:rsidDel="00000000" w:rsidP="00000000" w:rsidRDefault="00000000" w:rsidRPr="00000000" w14:paraId="00000076">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June 2024, the Rulebook on Closer Conditions for Provision and Use, Norms, and Minimum Standards of Community Life Support Services was amended. These changes led to a restriction in the entitlement of persons with disabilities (PWDs) to personal assistance (PA) to only those who are employed, enrolled in higher education, or engaged in lifelong learning. As a result, not only are PWDs denied legal capacity excluded from the right to PA, but many others who need it are also affected. The Rulebook is misinterpreted, and in practice, a maximum of 40 hours per week of PA is guaranteed to PWDs by the centers for social work and the relevant Ministry.</w:t>
            </w:r>
          </w:p>
          <w:p w:rsidR="00000000" w:rsidDel="00000000" w:rsidP="00000000" w:rsidRDefault="00000000" w:rsidRPr="00000000" w14:paraId="00000077">
            <w:pPr>
              <w:spacing w:after="240" w:before="240" w:lineRule="auto"/>
              <w:rPr>
                <w:rFonts w:ascii="Barlow" w:cs="Barlow" w:eastAsia="Barlow" w:hAnsi="Barlow"/>
              </w:rPr>
            </w:pPr>
            <w:r w:rsidDel="00000000" w:rsidR="00000000" w:rsidRPr="00000000">
              <w:rPr>
                <w:rFonts w:ascii="Barlow" w:cs="Barlow" w:eastAsia="Barlow" w:hAnsi="Barlow"/>
                <w:rtl w:val="0"/>
              </w:rPr>
              <w:t xml:space="preserve">Direct and personalized funding is not provided; instead, funds are directly paid to service providers based on their calculations of the service hours provided. Article 160 of the Law on Social and Child Protection stipulates that the service provision costs for users who cannot participate in their coverage will be covered by the state and local authorities. However, this legal provision is not implemented in practice. Furthermore, the Rulebook on Criteria and Standards for the Participation of Beneficiaries, Parents, and Relatives in Payment of the Costs of Community Life Support Services, Counseling-Therapeutic and Social-Educational Services, and Accommodation Services is not aligned with the increase in minimum pensions and wages, and even less with the rise in living costs. According to the Rulebook, PWDs earning over €800 monthly (including care and assistance allowance and personal disability allowance) are required to pay €985.25 to cover the costs of 176 hours of PA. Therefore, in the majority of cases, all state funding for PA is allocated solely to the fees and wages of personal assistants.</w:t>
            </w:r>
          </w:p>
          <w:p w:rsidR="00000000" w:rsidDel="00000000" w:rsidP="00000000" w:rsidRDefault="00000000" w:rsidRPr="00000000" w14:paraId="00000078">
            <w:pPr>
              <w:spacing w:after="240" w:before="240" w:lineRule="auto"/>
              <w:rPr>
                <w:rFonts w:ascii="Barlow" w:cs="Barlow" w:eastAsia="Barlow" w:hAnsi="Barlow"/>
              </w:rPr>
            </w:pPr>
            <w:r w:rsidDel="00000000" w:rsidR="00000000" w:rsidRPr="00000000">
              <w:rPr>
                <w:rFonts w:ascii="Barlow" w:cs="Barlow" w:eastAsia="Barlow" w:hAnsi="Barlow"/>
                <w:rtl w:val="0"/>
              </w:rPr>
              <w:t xml:space="preserve">PA is regulated by national legislation as a one-to-one service, but there is no other regulation regarding the self-management of the service. The assessment of needs is conducted by licensed service providers, but no standards for assessment are prescribed. Licensed service providers are required to have developed complaints and monitoring mechanisms, including annual user satisfaction evaluations, but there are no standards for these mechanisms, nor external evaluations. The social and child protection inspection should monitor the work of service providers, but since there are only a few inspectors (five), this is not happening consistently.</w:t>
            </w:r>
          </w:p>
          <w:p w:rsidR="00000000" w:rsidDel="00000000" w:rsidP="00000000" w:rsidRDefault="00000000" w:rsidRPr="00000000" w14:paraId="00000079">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practice, there have been a few cases where the recognition of the right to PA was rejected, or the recognized right was not exercised, because licensed service providers claimed they lacked the capacity to provide PA to the specific PWD. To date, I am the only individual who has exercised the right to PA in Montenegro, and the IYDB received its license in November 2024 to help change this practice. There is no provision for peer support, but the IYDB provides it either as a project activity or on a voluntary basis.</w:t>
            </w:r>
          </w:p>
          <w:p w:rsidR="00000000" w:rsidDel="00000000" w:rsidP="00000000" w:rsidRDefault="00000000" w:rsidRPr="00000000" w14:paraId="0000007A">
            <w:pPr>
              <w:spacing w:after="240" w:before="240" w:lineRule="auto"/>
              <w:rPr>
                <w:rFonts w:ascii="Barlow" w:cs="Barlow" w:eastAsia="Barlow" w:hAnsi="Barlow"/>
              </w:rPr>
            </w:pPr>
            <w:r w:rsidDel="00000000" w:rsidR="00000000" w:rsidRPr="00000000">
              <w:rPr>
                <w:rFonts w:ascii="Barlow" w:cs="Barlow" w:eastAsia="Barlow" w:hAnsi="Barlow"/>
                <w:rtl w:val="0"/>
              </w:rPr>
              <w:t xml:space="preserve">A few court proceedings (both administrative and for protection from discrimination) are underway to have the right to personal assistance recognized, as well as to fight for more hours and fully state-funded PA. The Rulebook on Criteria and Standards for the Participation of Beneficiaries, Parents, and Relatives in Payment of the Costs of Community Life Support Services, Counseling-Therapeutic and Social-Educational Services, and Accommodation Services is currently being amended, and the new Law on Social and Child Protection will be prepared and adopted next year. The IYDB is a member of these two working groups. However, DPOs are often represented by only one or two people in the working groups, and they are frequently outnumbered by at least 10 representatives from the relevant Ministry and other institutions. As a result, the participation of DPOs is often only formal.</w:t>
            </w:r>
          </w:p>
        </w:tc>
      </w:tr>
    </w:tbl>
    <w:p w:rsidR="00000000" w:rsidDel="00000000" w:rsidP="00000000" w:rsidRDefault="00000000" w:rsidRPr="00000000" w14:paraId="0000007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E">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8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81">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83">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8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85">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8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87">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9">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8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B">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8D">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8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8F">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91">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2">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93">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9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9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9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9A">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9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C">
            <w:pPr>
              <w:rPr>
                <w:rFonts w:ascii="Barlow" w:cs="Barlow" w:eastAsia="Barlow" w:hAnsi="Barlow"/>
              </w:rPr>
            </w:pPr>
            <w:r w:rsidDel="00000000" w:rsidR="00000000" w:rsidRPr="00000000">
              <w:rPr>
                <w:rFonts w:ascii="Barlow" w:cs="Barlow" w:eastAsia="Barlow" w:hAnsi="Barlow"/>
                <w:rtl w:val="0"/>
              </w:rPr>
              <w:t xml:space="preserve">As the CRPD is legally binding and takes precedence in implementation according to the Constitution of Montenegro, it should be directly implemented. Unfortunately, this is not the case in practice.</w:t>
            </w:r>
          </w:p>
          <w:p w:rsidR="00000000" w:rsidDel="00000000" w:rsidP="00000000" w:rsidRDefault="00000000" w:rsidRPr="00000000" w14:paraId="0000009D">
            <w:pPr>
              <w:spacing w:after="240" w:before="240" w:lineRule="auto"/>
              <w:rPr>
                <w:rFonts w:ascii="Barlow" w:cs="Barlow" w:eastAsia="Barlow" w:hAnsi="Barlow"/>
              </w:rPr>
            </w:pPr>
            <w:r w:rsidDel="00000000" w:rsidR="00000000" w:rsidRPr="00000000">
              <w:rPr>
                <w:rFonts w:ascii="Barlow" w:cs="Barlow" w:eastAsia="Barlow" w:hAnsi="Barlow"/>
                <w:rtl w:val="0"/>
              </w:rPr>
              <w:t xml:space="preserve">Mental capacity is the basis for the denial or restriction of legal capacity, as well as the right to express and have the opinions of children with disabilities respected. Therefore, children with disabilities and persons with intellectual or psychosocial disabilities are not provided with reasonable procedural and appropriate accommodations in proceedings, nor with supported decision-making. Furthermore, according to the Law, persons with visual impairments must sign documents with a fingerprint, in the same way as illiterate individuals. Although sign language interpretation and translation are guaranteed before the court and administrative institutions, they are rarely provided. There is no mandatory training on disability rights for judicial authorities, administration, first responders, or the police.</w:t>
            </w:r>
          </w:p>
          <w:p w:rsidR="00000000" w:rsidDel="00000000" w:rsidP="00000000" w:rsidRDefault="00000000" w:rsidRPr="00000000" w14:paraId="0000009E">
            <w:pPr>
              <w:spacing w:after="240" w:before="240" w:lineRule="auto"/>
              <w:rPr>
                <w:rFonts w:ascii="Barlow" w:cs="Barlow" w:eastAsia="Barlow" w:hAnsi="Barlow"/>
              </w:rPr>
            </w:pPr>
            <w:r w:rsidDel="00000000" w:rsidR="00000000" w:rsidRPr="00000000">
              <w:rPr>
                <w:rFonts w:ascii="Barlow" w:cs="Barlow" w:eastAsia="Barlow" w:hAnsi="Barlow"/>
                <w:rtl w:val="0"/>
              </w:rPr>
              <w:t xml:space="preserve">According to the Law, disabled victims in institutional care settings have confidential and accessible channels to report abuse and legal aid services to support their cases. However, these guarantees are not implemented. Monitoring visits to these institutions are conducted mainly by the Protector of Human Rights and Freedoms of Montenegro and the NPM, but they continue to issue the same recommendations over the years with no impact on practice.</w:t>
            </w:r>
          </w:p>
          <w:p w:rsidR="00000000" w:rsidDel="00000000" w:rsidP="00000000" w:rsidRDefault="00000000" w:rsidRPr="00000000" w14:paraId="0000009F">
            <w:pPr>
              <w:spacing w:after="240" w:before="240" w:lineRule="auto"/>
              <w:rPr>
                <w:rFonts w:ascii="Barlow" w:cs="Barlow" w:eastAsia="Barlow" w:hAnsi="Barlow"/>
              </w:rPr>
            </w:pPr>
            <w:r w:rsidDel="00000000" w:rsidR="00000000" w:rsidRPr="00000000">
              <w:rPr>
                <w:rFonts w:ascii="Barlow" w:cs="Barlow" w:eastAsia="Barlow" w:hAnsi="Barlow"/>
                <w:rtl w:val="0"/>
              </w:rPr>
              <w:t xml:space="preserve">Assistance in voting and voting by mail are allowed. Voting with a voting template for persons with visual impairments is also guaranteed and provided in practice, while sign language translation and interpretation of political debates on national broadcasts are legally guaranteed but not implemented. There are no legal guarantees or affirmative actions for PWDs to stand for elections, effectively hold office, or perform all public functions, nor for their equal representation.</w:t>
            </w:r>
          </w:p>
          <w:p w:rsidR="00000000" w:rsidDel="00000000" w:rsidP="00000000" w:rsidRDefault="00000000" w:rsidRPr="00000000" w14:paraId="000000A0">
            <w:pPr>
              <w:spacing w:after="240" w:before="240" w:lineRule="auto"/>
              <w:rPr>
                <w:rFonts w:ascii="Barlow" w:cs="Barlow" w:eastAsia="Barlow" w:hAnsi="Barlow"/>
              </w:rPr>
            </w:pPr>
            <w:r w:rsidDel="00000000" w:rsidR="00000000" w:rsidRPr="00000000">
              <w:rPr>
                <w:rFonts w:ascii="Barlow" w:cs="Barlow" w:eastAsia="Barlow" w:hAnsi="Barlow"/>
                <w:rtl w:val="0"/>
              </w:rPr>
              <w:t xml:space="preserve">Articles 13 and 29 of the CRPD could be used as the legal basis for seeking court protection from disability-based discrimination. However, so far, there has only been one court proceeding for the protection of disability-based discrimination in participation in political and public life.</w:t>
            </w:r>
          </w:p>
        </w:tc>
      </w:tr>
    </w:tbl>
    <w:p w:rsidR="00000000" w:rsidDel="00000000" w:rsidP="00000000" w:rsidRDefault="00000000" w:rsidRPr="00000000" w14:paraId="000000A1">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A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A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A4">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A6">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A8">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A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A">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A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C">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E">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B0">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B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2">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B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B6">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B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B8">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B9">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B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BD">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B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B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C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C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C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C5">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C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C7">
            <w:pPr>
              <w:rPr>
                <w:rFonts w:ascii="Barlow" w:cs="Barlow" w:eastAsia="Barlow" w:hAnsi="Barlow"/>
              </w:rPr>
            </w:pPr>
            <w:r w:rsidDel="00000000" w:rsidR="00000000" w:rsidRPr="00000000">
              <w:rPr>
                <w:rFonts w:ascii="Barlow" w:cs="Barlow" w:eastAsia="Barlow" w:hAnsi="Barlow"/>
                <w:rtl w:val="0"/>
              </w:rPr>
              <w:t xml:space="preserve">Accessibility standards are prescribed by national legislation for all public buildings and areas. However, they are not fully implemented, even in the capital of Montenegro, which is the most accessible city in the country. In rural areas, these standards are not implemented at all. Accessibility standards for the equipment of public spaces and activities are not prescribed. Although monitoring and sanctions are outlined in the Law on Spatial Planning and Building Construction and the Law on the Prohibition of Discrimination Against PWDs, they are not carried out. Final judgments that require the discriminator to adapt buildings or public spaces for the free movement and use of PWDs have not been implemented for years. Some education on accessibility standards is incorporated into the curricula of architectural studies, but based on practice, it is inefficient. Training on these issues is not mandatory for architects, urban planners, or construction workers.</w:t>
            </w:r>
          </w:p>
        </w:tc>
      </w:tr>
    </w:tbl>
    <w:p w:rsidR="00000000" w:rsidDel="00000000" w:rsidP="00000000" w:rsidRDefault="00000000" w:rsidRPr="00000000" w14:paraId="000000C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C9">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C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C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CC">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C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E">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D0">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D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D2">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D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D4">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D6">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D8">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D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DA">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D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D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DE">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DF">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0E0">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E1">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r>
        <w:trPr>
          <w:cantSplit w:val="0"/>
          <w:trHeight w:val="359" w:hRule="atLeast"/>
          <w:tblHeader w:val="0"/>
        </w:trPr>
        <w:tc>
          <w:tcPr>
            <w:shd w:fill="caedfb" w:val="clear"/>
            <w:vAlign w:val="center"/>
          </w:tcPr>
          <w:p w:rsidR="00000000" w:rsidDel="00000000" w:rsidP="00000000" w:rsidRDefault="00000000" w:rsidRPr="00000000" w14:paraId="000000E2">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E3">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bl>
    <w:p w:rsidR="00000000" w:rsidDel="00000000" w:rsidP="00000000" w:rsidRDefault="00000000" w:rsidRPr="00000000" w14:paraId="000000E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5">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E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E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E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E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D">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E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EF">
            <w:pPr>
              <w:rPr>
                <w:rFonts w:ascii="Barlow" w:cs="Barlow" w:eastAsia="Barlow" w:hAnsi="Barlow"/>
              </w:rPr>
            </w:pPr>
            <w:r w:rsidDel="00000000" w:rsidR="00000000" w:rsidRPr="00000000">
              <w:rPr>
                <w:rFonts w:ascii="Barlow" w:cs="Barlow" w:eastAsia="Barlow" w:hAnsi="Barlow"/>
                <w:rtl w:val="0"/>
              </w:rPr>
              <w:t xml:space="preserve">The prohibition of disability-based discrimination in the field of education is prescribed, along with some specific measures to achieve de facto equality. In this regard, the general Law on Education prescribes that the education process should use Braille and sign language, but this is not implemented at all, and no proceedings for violations of this norm have been initiated. The Law on the Education of Children with Special Needs stipulates that a child with a disability should be provided with assistants in education, accessible learning materials, and assistive technologies. However, in practice, usually only one assistant in education supports several children with disabilities, learning materials are inaccessible, and schools only provide basic didactic means. Reasonable accommodation is not recognized at all.</w:t>
            </w:r>
          </w:p>
          <w:p w:rsidR="00000000" w:rsidDel="00000000" w:rsidP="00000000" w:rsidRDefault="00000000" w:rsidRPr="00000000" w14:paraId="000000F0">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Law on the Prohibition of Discrimination Against PWDs acknowledges the inaccessibility of additional educational activities, as well as cultural and sports activities, as forms of disability-based discrimination, but it has not been used to challenge practices that involve only inaccessible activities. Peer support is not recognized by the legal and policy frameworks and is therefore not provided in practice. Transition services are offered only for children with disabilities who have finished primary school and are moving on to high school, but they are not recognized for later stages.</w:t>
            </w:r>
          </w:p>
          <w:p w:rsidR="00000000" w:rsidDel="00000000" w:rsidP="00000000" w:rsidRDefault="00000000" w:rsidRPr="00000000" w14:paraId="000000F1">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Law on Higher Education prescribes affirmative action for students with disabilities, covering enrollment, tuition fees, infrastructure accessibility, and exams. However, there is no legal or policy framework recognizing the equal right of PWDs to lifelong learning. The Law on Spatial Planning and Building Construction and its bylaw prescribe accessibility standards for schools and universities, but they are rarely implemented. The physical accessibility of schools and universities varies between regions. As a result, children with physical disabilities have fewer opportunities to access primary and secondary education compared to children with intellectual disabilities. A similar situation exists for children with sensory disabilities, who require accessible learning materials and the use of sign language, augmentative communication, or other communication methods, which are lacking.</w:t>
            </w:r>
          </w:p>
          <w:p w:rsidR="00000000" w:rsidDel="00000000" w:rsidP="00000000" w:rsidRDefault="00000000" w:rsidRPr="00000000" w14:paraId="000000F2">
            <w:pPr>
              <w:spacing w:after="240" w:before="240" w:lineRule="auto"/>
              <w:rPr>
                <w:rFonts w:ascii="Barlow" w:cs="Barlow" w:eastAsia="Barlow" w:hAnsi="Barlow"/>
              </w:rPr>
            </w:pPr>
            <w:r w:rsidDel="00000000" w:rsidR="00000000" w:rsidRPr="00000000">
              <w:rPr>
                <w:rFonts w:ascii="Barlow" w:cs="Barlow" w:eastAsia="Barlow" w:hAnsi="Barlow"/>
                <w:rtl w:val="0"/>
              </w:rPr>
              <w:t xml:space="preserve">Some education on providing support and education to PWDs is available for teaching staff, mainly in primary and secondary schools, but it is not mandatory. There is a shortage of special educators, rehabilitators, and similar professionals in Montenegro, which means that children with disabilities cannot acquire essential communication, mobility, and other skills.</w:t>
            </w:r>
          </w:p>
        </w:tc>
      </w:tr>
    </w:tbl>
    <w:p w:rsidR="00000000" w:rsidDel="00000000" w:rsidP="00000000" w:rsidRDefault="00000000" w:rsidRPr="00000000" w14:paraId="000000F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6">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F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F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F9">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F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B">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FF">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10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01">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0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3">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10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05">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10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7">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0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09">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B">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0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F">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1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1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1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17">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1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19">
            <w:pPr>
              <w:rPr>
                <w:rFonts w:ascii="Barlow" w:cs="Barlow" w:eastAsia="Barlow" w:hAnsi="Barlow"/>
              </w:rPr>
            </w:pPr>
            <w:r w:rsidDel="00000000" w:rsidR="00000000" w:rsidRPr="00000000">
              <w:rPr>
                <w:rFonts w:ascii="Barlow" w:cs="Barlow" w:eastAsia="Barlow" w:hAnsi="Barlow"/>
                <w:rtl w:val="0"/>
              </w:rPr>
              <w:t xml:space="preserve">The legal framework is very weak. There are accessibility standards for stations and stops, but they are not implemented. The obligation of local authorities to prescribe the minimum number of taxi vehicles required for taxi associations is stated, but it is rarely fulfilled in practice. There are only two taxi associations in the country, with a total of three accessible taxi vehicles.</w:t>
            </w:r>
          </w:p>
          <w:p w:rsidR="00000000" w:rsidDel="00000000" w:rsidP="00000000" w:rsidRDefault="00000000" w:rsidRPr="00000000" w14:paraId="0000011A">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There is no accessible intercity bus transportation. In some cities, there are accessible buses for local routes, but in most cases, there is no schedule for their arrivals. The trains that operate on some routes are accessible, but the platforms are not, and the train staff is not trained to use mobile ramps. The obligations of train staff to provide assistance to PWDs are prescribed, but not adequately implemented due to lack of training. It is also prescribed that the information provided by station and stop staff should be accessible, but this is not the case in practice.</w:t>
            </w:r>
          </w:p>
          <w:p w:rsidR="00000000" w:rsidDel="00000000" w:rsidP="00000000" w:rsidRDefault="00000000" w:rsidRPr="00000000" w14:paraId="0000011B">
            <w:pPr>
              <w:spacing w:after="240" w:before="240" w:lineRule="auto"/>
              <w:rPr>
                <w:rFonts w:ascii="Barlow" w:cs="Barlow" w:eastAsia="Barlow" w:hAnsi="Barlow"/>
              </w:rPr>
            </w:pPr>
            <w:r w:rsidDel="00000000" w:rsidR="00000000" w:rsidRPr="00000000">
              <w:rPr>
                <w:rFonts w:ascii="Barlow" w:cs="Barlow" w:eastAsia="Barlow" w:hAnsi="Barlow"/>
                <w:rtl w:val="0"/>
              </w:rPr>
              <w:t xml:space="preserve">Assistance, accessible information, and some degree of physical accessibility are available only in air transport, but there are no discounts for PWDs. Additionally, airports lack equipment for accessible boarding of PWDs, and they are instead carried in small wheelchairs or up stairs, which is unsafe. Complaints and monitoring mechanisms are not defined, and there are very limited opportunities to initiate protection proceedings, as the only legal basis would be the CRPD.</w:t>
            </w:r>
          </w:p>
        </w:tc>
      </w:tr>
    </w:tbl>
    <w:p w:rsidR="00000000" w:rsidDel="00000000" w:rsidP="00000000" w:rsidRDefault="00000000" w:rsidRPr="00000000" w14:paraId="0000011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1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1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1F">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2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2">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4">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2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2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8">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2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2A">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government’s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2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C">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2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2E">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0">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2">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34">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38">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3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3A">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3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3C">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3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3E">
            <w:pPr>
              <w:rPr>
                <w:rFonts w:ascii="Barlow" w:cs="Barlow" w:eastAsia="Barlow" w:hAnsi="Barlow"/>
              </w:rPr>
            </w:pPr>
            <w:r w:rsidDel="00000000" w:rsidR="00000000" w:rsidRPr="00000000">
              <w:rPr>
                <w:rFonts w:ascii="Barlow" w:cs="Barlow" w:eastAsia="Barlow" w:hAnsi="Barlow"/>
                <w:rtl w:val="0"/>
              </w:rPr>
              <w:t xml:space="preserve">The medical approach to disability is still prevalent in society, though there have been some small positive changes in public opinions towards PWDs. The state conducts education and campaigns to raise awareness, promote the CRPD, and address stigma and discrimination. However, these activities are not mandatory, as they are not legally prescribed.</w:t>
            </w:r>
          </w:p>
          <w:p w:rsidR="00000000" w:rsidDel="00000000" w:rsidP="00000000" w:rsidRDefault="00000000" w:rsidRPr="00000000" w14:paraId="0000013F">
            <w:pPr>
              <w:spacing w:after="240" w:before="240" w:lineRule="auto"/>
              <w:rPr>
                <w:rFonts w:ascii="Barlow" w:cs="Barlow" w:eastAsia="Barlow" w:hAnsi="Barlow"/>
              </w:rPr>
            </w:pPr>
            <w:r w:rsidDel="00000000" w:rsidR="00000000" w:rsidRPr="00000000">
              <w:rPr>
                <w:rFonts w:ascii="Barlow" w:cs="Barlow" w:eastAsia="Barlow" w:hAnsi="Barlow"/>
                <w:rtl w:val="0"/>
              </w:rPr>
              <w:t xml:space="preserve">No additional support or funding for support networks and DPOs is provided compared to other networks and NGOs. The Law on NGOs stipulates that 0.01% of the state budget is annually allocated for projects of NGOs dealing with the protection of PWDs, but all NGOs that include disability rights in their statutes can apply. As a result, around 30% of the funds allocated every year since 2017 have been given to NGOs that are not active in disability rights advocacy, and the work of these organizations is often questionable.</w:t>
            </w:r>
          </w:p>
          <w:p w:rsidR="00000000" w:rsidDel="00000000" w:rsidP="00000000" w:rsidRDefault="00000000" w:rsidRPr="00000000" w14:paraId="00000140">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Therefore, DPOs must compete with other NGOs to secure funding, as their financing is project-based and may include donations from the private sector and citizens. In this competition, local DPOs have very little chance of being sustainable, and the vast majority of them are on the brink of collapse.</w:t>
            </w:r>
          </w:p>
          <w:p w:rsidR="00000000" w:rsidDel="00000000" w:rsidP="00000000" w:rsidRDefault="00000000" w:rsidRPr="00000000" w14:paraId="00000141">
            <w:pPr>
              <w:spacing w:after="240" w:before="240" w:lineRule="auto"/>
              <w:rPr>
                <w:rFonts w:ascii="Barlow" w:cs="Barlow" w:eastAsia="Barlow" w:hAnsi="Barlow"/>
              </w:rPr>
            </w:pPr>
            <w:r w:rsidDel="00000000" w:rsidR="00000000" w:rsidRPr="00000000">
              <w:rPr>
                <w:rFonts w:ascii="Barlow" w:cs="Barlow" w:eastAsia="Barlow" w:hAnsi="Barlow"/>
                <w:rtl w:val="0"/>
              </w:rPr>
              <w:t xml:space="preserve">Although DPOs are legally free to advocate, in such an environment, they are not encouraged to be critical but are instead expected to advocate for "favor" rather than disability rights. They are included in various working groups that prepare drafts of legal and policy documents, but they are often outnumbered by representatives of institutions, and their requests are frequently not respected.</w:t>
            </w:r>
          </w:p>
        </w:tc>
      </w:tr>
    </w:tbl>
    <w:p w:rsidR="00000000" w:rsidDel="00000000" w:rsidP="00000000" w:rsidRDefault="00000000" w:rsidRPr="00000000" w14:paraId="0000014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5">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4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8">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4A">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4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4C">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4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4E">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4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50">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5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2">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5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54">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5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6">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57">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58">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5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5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5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5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5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0">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6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62">
            <w:pPr>
              <w:rPr>
                <w:rFonts w:ascii="Barlow" w:cs="Barlow" w:eastAsia="Barlow" w:hAnsi="Barlow"/>
              </w:rPr>
            </w:pPr>
            <w:r w:rsidDel="00000000" w:rsidR="00000000" w:rsidRPr="00000000">
              <w:rPr>
                <w:rFonts w:ascii="Barlow" w:cs="Barlow" w:eastAsia="Barlow" w:hAnsi="Barlow"/>
                <w:rtl w:val="0"/>
              </w:rPr>
              <w:t xml:space="preserve">The Law on Spatial Planning and Building Construction and its bylaw prescribe accessibility standards for at least one apartment per 10 apartments in a building. However, these standards are poorly implemented, and the prescribed monitoring is not carried out. As a result, the majority of available housing options are inaccessible for persons with physical impairments, while accessible options are very expensive to rent or buy. There is no financial support for PWDs to purchase or rent accessible housing.</w:t>
            </w:r>
          </w:p>
          <w:p w:rsidR="00000000" w:rsidDel="00000000" w:rsidP="00000000" w:rsidRDefault="00000000" w:rsidRPr="00000000" w14:paraId="00000163">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Energy Law provides discounts for PWDs who are recipients of care and assistance allowances or personal disability allowances. The law also prohibits the disconnection of electricity in homes where PWDs reside, but violations of this prohibition are not uncommon in practice. In most municipalities, there are discounts for water, though the scope of these discounts varies from city to city. Discounts are also available for telephone and internet services.</w:t>
            </w:r>
          </w:p>
          <w:p w:rsidR="00000000" w:rsidDel="00000000" w:rsidP="00000000" w:rsidRDefault="00000000" w:rsidRPr="00000000" w14:paraId="00000164">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Law on Social Housing recognizes PWDs as a priority group for the provision of social housing, which includes housing loans with lower interest rates, the construction of apartment buildings for favorable rent, and financial support to adapt or renovate housing. However, the right to social housing is not guaranteed; rather, the law outlines the possibilities and methods for providing it by the state and local authorities. Therefore, its implementation is project-based, and the scope of its application varies from municipality to municipality.</w:t>
            </w:r>
            <w:r w:rsidDel="00000000" w:rsidR="00000000" w:rsidRPr="00000000">
              <w:rPr>
                <w:rtl w:val="0"/>
              </w:rPr>
            </w:r>
          </w:p>
        </w:tc>
      </w:tr>
    </w:tbl>
    <w:p w:rsidR="00000000" w:rsidDel="00000000" w:rsidP="00000000" w:rsidRDefault="00000000" w:rsidRPr="00000000" w14:paraId="0000016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6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68">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6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6B">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6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6D">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6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6F">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7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1">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3">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5">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ffffff" w:val="clear"/>
            <w:vAlign w:val="center"/>
          </w:tcPr>
          <w:p w:rsidR="00000000" w:rsidDel="00000000" w:rsidP="00000000" w:rsidRDefault="00000000" w:rsidRPr="00000000" w14:paraId="00000177">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9">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7B">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7D">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7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7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3">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84">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8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86">
            <w:pPr>
              <w:rPr>
                <w:rFonts w:ascii="Barlow" w:cs="Barlow" w:eastAsia="Barlow" w:hAnsi="Barlow"/>
              </w:rPr>
            </w:pPr>
            <w:r w:rsidDel="00000000" w:rsidR="00000000" w:rsidRPr="00000000">
              <w:rPr>
                <w:rFonts w:ascii="Barlow" w:cs="Barlow" w:eastAsia="Barlow" w:hAnsi="Barlow"/>
                <w:rtl w:val="0"/>
              </w:rPr>
              <w:t xml:space="preserve">The eligibility criteria for social benefits are solely based on diagnoses. However, in recent years, even PWDs with a prescribed diagnosis have been unable to have the right to care and assistance allowance or personal disability allowance recognized by the centers for social work and the relevant Ministry. As a result, PWDs must go through administrative court proceedings, which last 2 or 3 years.</w:t>
            </w:r>
          </w:p>
          <w:p w:rsidR="00000000" w:rsidDel="00000000" w:rsidP="00000000" w:rsidRDefault="00000000" w:rsidRPr="00000000" w14:paraId="00000187">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These rights are not connected to educational or employment status, but PWDs who are employed must contribute a higher percentage toward covering the costs of community life support services. Both care and assistance allowance and personal disability allowance are included in the monthly earnings, which serve as the basis for the contribution rate for social and child protection services. Therefore, PWDs who are employed will receive a lower amount for the provision of these services. These amounts are not distributed directly to PWDs but to service providers.</w:t>
            </w:r>
          </w:p>
          <w:p w:rsidR="00000000" w:rsidDel="00000000" w:rsidP="00000000" w:rsidRDefault="00000000" w:rsidRPr="00000000" w14:paraId="00000188">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monthly payments of care and assistance allowance and personal disability allowance are made only in cash by post, delivered to the home address of the PWDs. This results in many PWDs not having control over the spending of these social benefits, as they are often taken by their family members. There is no option to have these benefits deposited into a bank account.</w:t>
            </w:r>
          </w:p>
          <w:p w:rsidR="00000000" w:rsidDel="00000000" w:rsidP="00000000" w:rsidRDefault="00000000" w:rsidRPr="00000000" w14:paraId="00000189">
            <w:pPr>
              <w:spacing w:after="240" w:before="240" w:lineRule="auto"/>
              <w:rPr>
                <w:rFonts w:ascii="Barlow" w:cs="Barlow" w:eastAsia="Barlow" w:hAnsi="Barlow"/>
              </w:rPr>
            </w:pPr>
            <w:r w:rsidDel="00000000" w:rsidR="00000000" w:rsidRPr="00000000">
              <w:rPr>
                <w:rFonts w:ascii="Barlow" w:cs="Barlow" w:eastAsia="Barlow" w:hAnsi="Barlow"/>
                <w:rtl w:val="0"/>
              </w:rPr>
              <w:t xml:space="preserve">Reasonable accommodations are not provided in any field, including this one. The material security, which aims to prevent poverty, amounts to one-sixth of the minimum wage salary, as no additional amount is provided to PWDs.</w:t>
            </w:r>
          </w:p>
        </w:tc>
      </w:tr>
    </w:tbl>
    <w:p w:rsidR="00000000" w:rsidDel="00000000" w:rsidP="00000000" w:rsidRDefault="00000000" w:rsidRPr="00000000" w14:paraId="0000018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E">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1">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9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93">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95">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9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97">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9B">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9D">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A1">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A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8">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A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AC">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A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A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A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0">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2">
            <w:pPr>
              <w:rPr>
                <w:rFonts w:ascii="Barlow" w:cs="Barlow" w:eastAsia="Barlow" w:hAnsi="Barlow"/>
              </w:rPr>
            </w:pPr>
            <w:r w:rsidDel="00000000" w:rsidR="00000000" w:rsidRPr="00000000">
              <w:rPr>
                <w:rFonts w:ascii="Barlow" w:cs="Barlow" w:eastAsia="Barlow" w:hAnsi="Barlow"/>
                <w:rtl w:val="0"/>
              </w:rPr>
              <w:t xml:space="preserve">The Family Law recognizes mental capacity as a condition for being entitled to full legal capacity and recognition before the law. As a result, persons with intellectual and/or psychosocial disabilities are often denied legal capacity, but this is not exclusive to persons with these types of disabilities. The denial of legal capacity is discussed within the extrajudicial proceeding, which judges are not always conducted with the necessary attention, leading to misuse. The Law on Extrajudicial Proceedings was amended to prescribe the obligatory revision of decisions on the denial of legal capacity, but the first revision has not shown positive changes in the number of PWDs denied legal capacity.</w:t>
            </w:r>
          </w:p>
          <w:p w:rsidR="00000000" w:rsidDel="00000000" w:rsidP="00000000" w:rsidRDefault="00000000" w:rsidRPr="00000000" w14:paraId="000001B3">
            <w:pPr>
              <w:spacing w:after="240" w:before="240" w:lineRule="auto"/>
              <w:rPr>
                <w:rFonts w:ascii="Barlow" w:cs="Barlow" w:eastAsia="Barlow" w:hAnsi="Barlow"/>
              </w:rPr>
            </w:pPr>
            <w:r w:rsidDel="00000000" w:rsidR="00000000" w:rsidRPr="00000000">
              <w:rPr>
                <w:rFonts w:ascii="Barlow" w:cs="Barlow" w:eastAsia="Barlow" w:hAnsi="Barlow"/>
                <w:rtl w:val="0"/>
              </w:rPr>
              <w:t xml:space="preserve">Article 12 of the CRPD could be used as the basis for preparing a lawsuit for protection from disability-based discrimination, but success in the proceeding would be uncertain, as the CRPD would be the only foundation for the lawsuit. The Law on Prohibition of Discrimination of PWDs does not define the denial of legal capacity as discrimination.</w:t>
            </w:r>
          </w:p>
        </w:tc>
      </w:tr>
    </w:tbl>
    <w:p w:rsidR="00000000" w:rsidDel="00000000" w:rsidP="00000000" w:rsidRDefault="00000000" w:rsidRPr="00000000" w14:paraId="000001B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7">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B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BA">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B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BC">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B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BE">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B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0">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2">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C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4">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C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C6">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C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CA">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C">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D">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C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0">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D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4">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6">
                <w:pPr>
                  <w:jc w:val="center"/>
                  <w:rPr>
                    <w:rFonts w:ascii="Barlow" w:cs="Barlow" w:eastAsia="Barlow" w:hAnsi="Barlow"/>
                  </w:rPr>
                </w:pPr>
                <w:r w:rsidDel="00000000" w:rsidR="00000000" w:rsidRPr="00000000">
                  <w:rPr>
                    <w:rFonts w:ascii="Barlow" w:cs="Barlow" w:eastAsia="Barlow" w:hAnsi="Barlow"/>
                    <w:rtl w:val="0"/>
                  </w:rPr>
                  <w:t xml:space="preserve">NO</w:t>
                </w:r>
              </w:p>
            </w:tc>
          </w:tr>
        </w:tbl>
      </w:sdtContent>
    </w:sdt>
    <w:p w:rsidR="00000000" w:rsidDel="00000000" w:rsidP="00000000" w:rsidRDefault="00000000" w:rsidRPr="00000000" w14:paraId="000001D7">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D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D9">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D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D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1">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E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E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E4">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6">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E8">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A">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EC">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ED">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E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F6">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F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Peer support services are only provided by DPOs as a project activity or on a voluntary basis. They are not recognized by national or local legislation, nor is there sustainable financial support for DPOs that provide them. The funding for all DPOs in Montenegro is project-based and/or donation-based. Some projects funded by the state and local authorities do include peer support.</w:t>
            </w:r>
          </w:p>
        </w:tc>
      </w:tr>
    </w:tbl>
    <w:p w:rsidR="00000000" w:rsidDel="00000000" w:rsidP="00000000" w:rsidRDefault="00000000" w:rsidRPr="00000000" w14:paraId="000001F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F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D">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F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FF">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201">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3">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7">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09">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11">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1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18">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21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21A">
            <w:pPr>
              <w:rPr>
                <w:rFonts w:ascii="Barlow" w:cs="Barlow" w:eastAsia="Barlow" w:hAnsi="Barlow"/>
              </w:rPr>
            </w:pPr>
            <w:r w:rsidDel="00000000" w:rsidR="00000000" w:rsidRPr="00000000">
              <w:rPr>
                <w:rFonts w:ascii="Barlow" w:cs="Barlow" w:eastAsia="Barlow" w:hAnsi="Barlow"/>
                <w:rtl w:val="0"/>
              </w:rPr>
              <w:t xml:space="preserve">The legal framework does not guarantee equality for PWDs regarding recruitment, hiring processes, continued employment, career advancement, equal remuneration for work of equal value, and safe and healthy working conditions, including protection from harassment. The Law on Professional Rehabilitation and Employment of PWDs, adopted in 2008 and currently under revision, only prescribes an employment quota for PWDs, incentives for employers hiring PWDs, and professional rehabilitation, but no rights protection in this field. Employers who do not meet the prescribed percentage of PWDs are required to pay a contribution to the Fund for Professional Rehabilitation and Employment of PWDs, which is used to fund incentives and projects promoting the employment of PWDs (including grant schemes). Projects funded by these grant schemes often focus on training and awareness-raising activities.</w:t>
            </w:r>
          </w:p>
          <w:p w:rsidR="00000000" w:rsidDel="00000000" w:rsidP="00000000" w:rsidRDefault="00000000" w:rsidRPr="00000000" w14:paraId="0000021B">
            <w:pPr>
              <w:spacing w:after="240" w:before="240" w:lineRule="auto"/>
              <w:rPr>
                <w:rFonts w:ascii="Barlow" w:cs="Barlow" w:eastAsia="Barlow" w:hAnsi="Barlow"/>
              </w:rPr>
            </w:pPr>
            <w:r w:rsidDel="00000000" w:rsidR="00000000" w:rsidRPr="00000000">
              <w:rPr>
                <w:rFonts w:ascii="Barlow" w:cs="Barlow" w:eastAsia="Barlow" w:hAnsi="Barlow"/>
                <w:rtl w:val="0"/>
              </w:rPr>
              <w:t xml:space="preserve">Reasonable accommodation is not guaranteed, though an individualized approach to assessing needed workplace adjustments and assistance is regulated by the professional rehabilitation agency. Workplace adjustments can include infrastructural adaptations, purchasing assistive technologies and other equipment, as well as adjusting work tasks and hours. The cost of workplace adjustments and the personal expenses for assistants at work (up to the minimum wage) are covered by the Fund for Professional Rehabilitation and Employment of PWDs. However, employees of professional rehabilitation agencies lack sufficient knowledge and skills to adequately assist PWDs in achieving fully inclusive workplaces. Additionally, the entire process is often very slow, lasting up to a year.</w:t>
            </w:r>
          </w:p>
          <w:p w:rsidR="00000000" w:rsidDel="00000000" w:rsidP="00000000" w:rsidRDefault="00000000" w:rsidRPr="00000000" w14:paraId="0000021C">
            <w:pPr>
              <w:spacing w:after="240" w:before="240" w:lineRule="auto"/>
              <w:rPr>
                <w:rFonts w:ascii="Barlow" w:cs="Barlow" w:eastAsia="Barlow" w:hAnsi="Barlow"/>
              </w:rPr>
            </w:pPr>
            <w:r w:rsidDel="00000000" w:rsidR="00000000" w:rsidRPr="00000000">
              <w:rPr>
                <w:rFonts w:ascii="Barlow" w:cs="Barlow" w:eastAsia="Barlow" w:hAnsi="Barlow"/>
                <w:rtl w:val="0"/>
              </w:rPr>
              <w:t xml:space="preserve">One of the major issues is that PWDs are not entitled to workplace adjustments and assistance at work, which are considered incentives for employers. As such, if an employer is not interested in providing equal opportunities at work, the PWD must initiate a discrimination protection proceeding, which can take at least a year and a half.</w:t>
            </w:r>
          </w:p>
          <w:p w:rsidR="00000000" w:rsidDel="00000000" w:rsidP="00000000" w:rsidRDefault="00000000" w:rsidRPr="00000000" w14:paraId="0000021D">
            <w:pPr>
              <w:spacing w:after="240" w:before="240" w:lineRule="auto"/>
              <w:rPr>
                <w:rFonts w:ascii="Barlow" w:cs="Barlow" w:eastAsia="Barlow" w:hAnsi="Barlow"/>
              </w:rPr>
            </w:pPr>
            <w:r w:rsidDel="00000000" w:rsidR="00000000" w:rsidRPr="00000000">
              <w:rPr>
                <w:rFonts w:ascii="Barlow" w:cs="Barlow" w:eastAsia="Barlow" w:hAnsi="Barlow"/>
                <w:rtl w:val="0"/>
              </w:rPr>
              <w:t xml:space="preserve">Although there is a section in the law for employers who fail to meet the prescribed employment percentage of PWDs, penalties are rarely issued. There is no regular monitoring or evaluation, nor a system for tracking employees with disabilities. Professional rehabilitation agencies are supposed to monitor the working conditions of PWDs but do not do so regularly.</w:t>
            </w:r>
          </w:p>
          <w:p w:rsidR="00000000" w:rsidDel="00000000" w:rsidP="00000000" w:rsidRDefault="00000000" w:rsidRPr="00000000" w14:paraId="0000021E">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There are no affirmative actions for entrepreneurship or employability for PWDs, apart from those provided within projects funded by grant schemes. The only legal guarantees in the field of work and employment for PWDs relate to the prohibition of transfer to jobs in other municipalities, extended holidays, and special measures regarding dismissal.</w:t>
            </w:r>
          </w:p>
        </w:tc>
      </w:tr>
    </w:tbl>
    <w:p w:rsidR="00000000" w:rsidDel="00000000" w:rsidP="00000000" w:rsidRDefault="00000000" w:rsidRPr="00000000" w14:paraId="0000021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1">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22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24">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2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26">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2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28">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2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A">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2C">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2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E">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0">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32">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36">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38">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3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A">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3C">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3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3E">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3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40">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4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4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4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4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46">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47">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4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9">
            <w:pPr>
              <w:rPr>
                <w:rFonts w:ascii="Barlow" w:cs="Barlow" w:eastAsia="Barlow" w:hAnsi="Barlow"/>
              </w:rPr>
            </w:pPr>
            <w:r w:rsidDel="00000000" w:rsidR="00000000" w:rsidRPr="00000000">
              <w:rPr>
                <w:rFonts w:ascii="Barlow" w:cs="Barlow" w:eastAsia="Barlow" w:hAnsi="Barlow"/>
                <w:rtl w:val="0"/>
              </w:rPr>
              <w:t xml:space="preserve">The Constitution of Montenegro guarantees free healthcare for all PWDs, and they are not legally excluded from mainstream healthcare services. However, the right to prevention of further disability, early identification, and intervention is not legally prescribed and is only available in practice to children with disabilities in some cities. There is no data on the health conditions and healthcare protection of PWDs.</w:t>
            </w:r>
          </w:p>
          <w:p w:rsidR="00000000" w:rsidDel="00000000" w:rsidP="00000000" w:rsidRDefault="00000000" w:rsidRPr="00000000" w14:paraId="0000024A">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Law on Health Protection allows police officers to bring a person to a psychiatric hospital if they determine that the person poses a danger to themselves or others. PWDs who have been denied legal capacity do not have the right to free and informed consent to medical treatment, nor do children with disabilities. There are no counseling or decision-making support services available to assist PWDs in making healthcare-related choices. While PWDs have access to general mental health programs, these services are not disability-inclusive.</w:t>
            </w:r>
          </w:p>
          <w:p w:rsidR="00000000" w:rsidDel="00000000" w:rsidP="00000000" w:rsidRDefault="00000000" w:rsidRPr="00000000" w14:paraId="0000024B">
            <w:pPr>
              <w:spacing w:after="240" w:before="240" w:lineRule="auto"/>
              <w:rPr>
                <w:rFonts w:ascii="Barlow" w:cs="Barlow" w:eastAsia="Barlow" w:hAnsi="Barlow"/>
              </w:rPr>
            </w:pPr>
            <w:r w:rsidDel="00000000" w:rsidR="00000000" w:rsidRPr="00000000">
              <w:rPr>
                <w:rFonts w:ascii="Barlow" w:cs="Barlow" w:eastAsia="Barlow" w:hAnsi="Barlow"/>
                <w:rtl w:val="0"/>
              </w:rPr>
              <w:t xml:space="preserve">Access to gender-sensitive healthcare is extremely limited. There are only a few gynecological chairs accessible to women with disabilities in Montenegro, and specialized services for them are mostly unavailable. Additionally, forced sterilization and abortion are permitted with the consent of a guardian for individuals who have been denied legal capacity.</w:t>
            </w:r>
          </w:p>
          <w:p w:rsidR="00000000" w:rsidDel="00000000" w:rsidP="00000000" w:rsidRDefault="00000000" w:rsidRPr="00000000" w14:paraId="0000024C">
            <w:pPr>
              <w:spacing w:after="240" w:before="240" w:lineRule="auto"/>
              <w:rPr>
                <w:rFonts w:ascii="Barlow" w:cs="Barlow" w:eastAsia="Barlow" w:hAnsi="Barlow"/>
              </w:rPr>
            </w:pPr>
            <w:r w:rsidDel="00000000" w:rsidR="00000000" w:rsidRPr="00000000">
              <w:rPr>
                <w:rFonts w:ascii="Barlow" w:cs="Barlow" w:eastAsia="Barlow" w:hAnsi="Barlow"/>
                <w:rtl w:val="0"/>
              </w:rPr>
              <w:t xml:space="preserve">PWDs living in institutions face restricted access to healthcare, as it is usually provided by institutional staff or honorary medical personnel rather than independent healthcare providers.</w:t>
            </w:r>
          </w:p>
          <w:p w:rsidR="00000000" w:rsidDel="00000000" w:rsidP="00000000" w:rsidRDefault="00000000" w:rsidRPr="00000000" w14:paraId="0000024D">
            <w:pPr>
              <w:rPr>
                <w:rFonts w:ascii="Barlow" w:cs="Barlow" w:eastAsia="Barlow" w:hAnsi="Barlow"/>
              </w:rPr>
            </w:pPr>
            <w:r w:rsidDel="00000000" w:rsidR="00000000" w:rsidRPr="00000000">
              <w:rPr>
                <w:rFonts w:ascii="Barlow" w:cs="Barlow" w:eastAsia="Barlow" w:hAnsi="Barlow"/>
                <w:rtl w:val="0"/>
              </w:rPr>
              <w:t xml:space="preserve">Specialized healthcare services are largely concentrated in the capital, leaving those in rural areas—both PWDs and the general population—without nearby medical services. The e-health website and mobile app provide incomplete access to healthcare services and information, as certain medications and services must still be obtained in person. Additionally, the e-health service does not function effectively in practice.</w:t>
            </w:r>
          </w:p>
        </w:tc>
      </w:tr>
    </w:tbl>
    <w:p w:rsidR="00000000" w:rsidDel="00000000" w:rsidP="00000000" w:rsidRDefault="00000000" w:rsidRPr="00000000" w14:paraId="0000024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4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9">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15.00000000000006" w:tblpY="252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5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5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5C">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5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5E">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5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260">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6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62">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6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64">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6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66">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6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68">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69">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26A">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6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6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6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6E">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6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70">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71">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7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73">
                <w:pPr>
                  <w:rPr>
                    <w:rFonts w:ascii="Barlow" w:cs="Barlow" w:eastAsia="Barlow" w:hAnsi="Barlow"/>
                  </w:rPr>
                </w:pPr>
                <w:r w:rsidDel="00000000" w:rsidR="00000000" w:rsidRPr="00000000">
                  <w:rPr>
                    <w:rFonts w:ascii="Barlow" w:cs="Barlow" w:eastAsia="Barlow" w:hAnsi="Barlow"/>
                    <w:rtl w:val="0"/>
                  </w:rPr>
                  <w:t xml:space="preserve">PWDs receive assistive technologies and aids based on a predefined list set by the Health Insurance Fund, which also determines the prices fully covered by the state. While regulations technically allow for a choice between different distributors, in practice, a monopoly in the field prevents this, leaving PWDs with low-quality aids and no individualized approach to their needs.</w:t>
                </w:r>
              </w:p>
              <w:p w:rsidR="00000000" w:rsidDel="00000000" w:rsidP="00000000" w:rsidRDefault="00000000" w:rsidRPr="00000000" w14:paraId="00000274">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process of obtaining assistive technologies and aids is complex, particularly for PWDs in rural areas. Additionally, information on how to access these rights is not readily available, leading many PWDs to miss opportunities to renew their assistive devices when eligible.</w:t>
                </w:r>
              </w:p>
            </w:tc>
          </w:tr>
        </w:tbl>
      </w:sdtContent>
    </w:sdt>
    <w:p w:rsidR="00000000" w:rsidDel="00000000" w:rsidP="00000000" w:rsidRDefault="00000000" w:rsidRPr="00000000" w14:paraId="00000275">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2"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77">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dsE6kvPqzOULXVKhMkRYxTyfg==">CgMxLjAaHwoBMBIaChgICVIUChJ0YWJsZS5pdXg1anZkbWZrb3kaHwoBMRIaChgICVIUChJ0YWJsZS5wZXJmb3k5emIxcXEaHwoBMhIaChgICVIUChJ0YWJsZS5haHNqOGhoNW9vbWwaHwoBMxIaChgICVIUChJ0YWJsZS5vZ21lMXBhZGNla3caHwoBNBIaChgICVIUChJ0YWJsZS42YWszZHY5ang3M3Q4AHIhMWFYRUpTb1hCYzFJYUJhR2NXYXg5Uk5teHkwX0prNTNP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