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SPAIN</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1.85</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1.1</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1.4</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1.45</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1.41</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1.1</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1.2</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1.77</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1.3</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1.2</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1.45</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1.85</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1.71</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ff0000"/>
          <w:sz w:val="72"/>
          <w:szCs w:val="72"/>
        </w:rPr>
      </w:pPr>
      <w:r w:rsidDel="00000000" w:rsidR="00000000" w:rsidRPr="00000000">
        <w:rPr>
          <w:rFonts w:ascii="Barlow" w:cs="Barlow" w:eastAsia="Barlow" w:hAnsi="Barlow"/>
          <w:b w:val="1"/>
          <w:color w:val="ff0000"/>
          <w:sz w:val="72"/>
          <w:szCs w:val="72"/>
          <w:rtl w:val="0"/>
        </w:rPr>
        <w:t xml:space="preserve">1.5</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Spec="center" w:tblpY="218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shd w:fill="auto"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2">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54">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shd w:fill="auto"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6">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C">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60">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1">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Spec="center" w:tblpY="58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6F">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shd w:fill="auto" w:val="clear"/>
            <w:vAlign w:val="center"/>
          </w:tcPr>
          <w:p w:rsidR="00000000" w:rsidDel="00000000" w:rsidP="00000000" w:rsidRDefault="00000000" w:rsidRPr="00000000" w14:paraId="0000007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1">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73">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shd w:fill="auto" w:val="clear"/>
            <w:vAlign w:val="center"/>
          </w:tcPr>
          <w:p w:rsidR="00000000" w:rsidDel="00000000" w:rsidP="00000000" w:rsidRDefault="00000000" w:rsidRPr="00000000" w14:paraId="0000007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5">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1">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88">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0"/>
        <w:tblGridChange w:id="0">
          <w:tblGrid>
            <w:gridCol w:w="9070"/>
          </w:tblGrid>
        </w:tblGridChange>
      </w:tblGrid>
      <w:tr>
        <w:trPr>
          <w:cantSplit w:val="0"/>
          <w:trHeight w:val="461" w:hRule="atLeast"/>
          <w:tblHeader w:val="0"/>
        </w:trPr>
        <w:tc>
          <w:tcPr>
            <w:shd w:fill="0070c0" w:val="clear"/>
            <w:vAlign w:val="center"/>
          </w:tcPr>
          <w:p w:rsidR="00000000" w:rsidDel="00000000" w:rsidP="00000000" w:rsidRDefault="00000000" w:rsidRPr="00000000" w14:paraId="0000008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61" w:hRule="atLeast"/>
          <w:tblHeader w:val="0"/>
        </w:trPr>
        <w:tc>
          <w:tcPr>
            <w:vAlign w:val="center"/>
          </w:tcPr>
          <w:p w:rsidR="00000000" w:rsidDel="00000000" w:rsidP="00000000" w:rsidRDefault="00000000" w:rsidRPr="00000000" w14:paraId="0000008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F">
      <w:pPr>
        <w:rPr>
          <w:rFonts w:ascii="Barlow" w:cs="Barlow" w:eastAsia="Barlow" w:hAnsi="Barlow"/>
          <w:sz w:val="28"/>
          <w:szCs w:val="28"/>
        </w:rPr>
      </w:pPr>
      <w:r w:rsidDel="00000000" w:rsidR="00000000" w:rsidRPr="00000000">
        <w:rPr>
          <w:rtl w:val="0"/>
        </w:rPr>
      </w:r>
    </w:p>
    <w:tbl>
      <w:tblPr>
        <w:tblStyle w:val="Table11"/>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92">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9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4">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shd w:fill="auto" w:val="clea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8">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9A">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C">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E">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0">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4">
            <w:pPr>
              <w:rPr>
                <w:rFonts w:ascii="Barlow" w:cs="Barlow" w:eastAsia="Barlow" w:hAnsi="Barlow"/>
                <w:color w:val="000000"/>
              </w:rPr>
            </w:pPr>
            <w:r w:rsidDel="00000000" w:rsidR="00000000" w:rsidRPr="00000000">
              <w:rPr>
                <w:rFonts w:ascii="Barlow" w:cs="Barlow" w:eastAsia="Barlow" w:hAnsi="Barlow"/>
                <w:b w:val="1"/>
                <w:color w:val="000000"/>
                <w:rtl w:val="0"/>
              </w:rPr>
              <w:t xml:space="preserve">4.10  Monitoring and Evaluation:</w:t>
            </w:r>
            <w:r w:rsidDel="00000000" w:rsidR="00000000" w:rsidRPr="00000000">
              <w:rPr>
                <w:rFonts w:ascii="Barlow" w:cs="Barlow" w:eastAsia="Barlow" w:hAnsi="Barlow"/>
                <w:color w:val="000000"/>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A6">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4.11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AF">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B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B5">
      <w:pPr>
        <w:rPr>
          <w:rFonts w:ascii="Barlow" w:cs="Barlow" w:eastAsia="Barlow" w:hAnsi="Barlow"/>
          <w:sz w:val="40"/>
          <w:szCs w:val="40"/>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8">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BA">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BC">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BE">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2">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8">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A">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B">
            <w:pPr>
              <w:jc w:val="center"/>
              <w:rPr>
                <w:rFonts w:ascii="Barlow" w:cs="Barlow" w:eastAsia="Barlow" w:hAnsi="Barlow"/>
                <w:sz w:val="36"/>
                <w:szCs w:val="36"/>
              </w:rPr>
            </w:pPr>
            <w:r w:rsidDel="00000000" w:rsidR="00000000" w:rsidRPr="00000000">
              <w:rPr>
                <w:rFonts w:ascii="Barlow" w:cs="Barlow" w:eastAsia="Barlow" w:hAnsi="Barlow"/>
                <w:rtl w:val="0"/>
              </w:rPr>
              <w:t xml:space="preserve">1</w:t>
            </w: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0CC">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D">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r>
        <w:trPr>
          <w:cantSplit w:val="0"/>
          <w:trHeight w:val="359" w:hRule="atLeast"/>
          <w:tblHeader w:val="0"/>
        </w:trPr>
        <w:tc>
          <w:tcPr>
            <w:shd w:fill="caedfb" w:val="clear"/>
            <w:vAlign w:val="center"/>
          </w:tcPr>
          <w:p w:rsidR="00000000" w:rsidDel="00000000" w:rsidP="00000000" w:rsidRDefault="00000000" w:rsidRPr="00000000" w14:paraId="000000CE">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CF">
            <w:pPr>
              <w:jc w:val="center"/>
              <w:rPr>
                <w:rFonts w:ascii="Barlow" w:cs="Barlow" w:eastAsia="Barlow" w:hAnsi="Barlow"/>
                <w:sz w:val="36"/>
                <w:szCs w:val="36"/>
              </w:rPr>
            </w:pPr>
            <w:r w:rsidDel="00000000" w:rsidR="00000000" w:rsidRPr="00000000">
              <w:rPr>
                <w:rFonts w:ascii="Barlow" w:cs="Barlow" w:eastAsia="Barlow" w:hAnsi="Barlow"/>
                <w:rtl w:val="0"/>
              </w:rPr>
              <w:t xml:space="preserve">1</w:t>
            </w:r>
            <w:r w:rsidDel="00000000" w:rsidR="00000000" w:rsidRPr="00000000">
              <w:rPr>
                <w:rtl w:val="0"/>
              </w:rPr>
            </w:r>
          </w:p>
        </w:tc>
      </w:tr>
    </w:tbl>
    <w:p w:rsidR="00000000" w:rsidDel="00000000" w:rsidP="00000000" w:rsidRDefault="00000000" w:rsidRPr="00000000" w14:paraId="000000D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1">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D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B">
            <w:pPr>
              <w:rPr>
                <w:rFonts w:ascii="Barlow" w:cs="Barlow" w:eastAsia="Barlow" w:hAnsi="Barlow"/>
              </w:rPr>
            </w:pPr>
            <w:r w:rsidDel="00000000" w:rsidR="00000000" w:rsidRPr="00000000">
              <w:rPr>
                <w:rFonts w:ascii="Barlow" w:cs="Barlow" w:eastAsia="Barlow" w:hAnsi="Barlow"/>
                <w:rtl w:val="0"/>
              </w:rPr>
              <w:t xml:space="preserve">(Text…) </w:t>
            </w:r>
          </w:p>
        </w:tc>
      </w:tr>
    </w:tbl>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E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F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F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9">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B">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0D">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F">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government’s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3">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19">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1B">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F">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C">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2E">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4">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8">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3C">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D">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4F">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51">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7">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ffffff" w:val="clear"/>
            <w:vAlign w:val="center"/>
          </w:tcPr>
          <w:p w:rsidR="00000000" w:rsidDel="00000000" w:rsidP="00000000" w:rsidRDefault="00000000" w:rsidRPr="00000000" w14:paraId="00000159">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5F">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6">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0">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2">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74">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6">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78">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C">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80">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8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F">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1">
            <w:pPr>
              <w:rPr>
                <w:rFonts w:ascii="Barlow" w:cs="Barlow" w:eastAsia="Barlow" w:hAnsi="Barlow"/>
              </w:rPr>
            </w:pPr>
            <w:r w:rsidDel="00000000" w:rsidR="00000000" w:rsidRPr="00000000">
              <w:rPr>
                <w:rFonts w:ascii="Barlow" w:cs="Barlow" w:eastAsia="Barlow" w:hAnsi="Barlow"/>
                <w:rtl w:val="0"/>
              </w:rPr>
              <w:t xml:space="preserve">(Text…) </w:t>
            </w:r>
          </w:p>
        </w:tc>
      </w:tr>
    </w:tbl>
    <w:p w:rsidR="00000000" w:rsidDel="00000000" w:rsidP="00000000" w:rsidRDefault="00000000" w:rsidRPr="00000000" w14:paraId="0000019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5">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8">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9A">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9C">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E">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A0">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2">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A8">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A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sdt>
      <w:sdtPr>
        <w:lock w:val="contentLocked"/>
        <w:tag w:val="goog_rdk_0"/>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2">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B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4">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5">
      <w:pPr>
        <w:rPr>
          <w:rFonts w:ascii="Barlow" w:cs="Barlow" w:eastAsia="Barlow" w:hAnsi="Barlow"/>
          <w:sz w:val="28"/>
          <w:szCs w:val="28"/>
        </w:rPr>
      </w:pPr>
      <w:r w:rsidDel="00000000" w:rsidR="00000000" w:rsidRPr="00000000">
        <w:rPr>
          <w:rtl w:val="0"/>
        </w:rPr>
      </w:r>
    </w:p>
    <w:sdt>
      <w:sdtPr>
        <w:lock w:val="contentLocked"/>
        <w:tag w:val="goog_rdk_1"/>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7">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2">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4">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C6">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CA">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C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4">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B">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DD">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DF">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1">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E3">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E7">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EB">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6">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(Text…) </w:t>
            </w:r>
          </w:p>
        </w:tc>
      </w:tr>
    </w:tbl>
    <w:p w:rsidR="00000000" w:rsidDel="00000000" w:rsidP="00000000" w:rsidRDefault="00000000" w:rsidRPr="00000000" w14:paraId="000001F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E">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0">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02">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4">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6">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8">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A">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0E">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1A">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E">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1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0">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1">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tbl>
      <w:tblPr>
        <w:tblStyle w:val="Table44"/>
        <w:tblpPr w:leftFromText="180" w:rightFromText="180" w:topFromText="0" w:bottomFromText="0" w:vertAnchor="page" w:horzAnchor="margin" w:tblpXSpec="center" w:tblpY="255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28">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shd w:fill="auto" w:val="clear"/>
            <w:vAlign w:val="center"/>
          </w:tcPr>
          <w:p w:rsidR="00000000" w:rsidDel="00000000" w:rsidP="00000000" w:rsidRDefault="00000000" w:rsidRPr="00000000" w14:paraId="0000022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A">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2C">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shd w:fill="auto" w:val="clear"/>
            <w:vAlign w:val="center"/>
          </w:tcPr>
          <w:p w:rsidR="00000000" w:rsidDel="00000000" w:rsidP="00000000" w:rsidRDefault="00000000" w:rsidRPr="00000000" w14:paraId="0000022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0">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36">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A">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3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D">
      <w:pPr>
        <w:rPr>
          <w:rFonts w:ascii="Barlow" w:cs="Barlow" w:eastAsia="Barlow" w:hAnsi="Barlow"/>
          <w:sz w:val="40"/>
          <w:szCs w:val="40"/>
        </w:rPr>
      </w:pPr>
      <w:r w:rsidDel="00000000" w:rsidR="00000000" w:rsidRPr="00000000">
        <w:rPr>
          <w:rtl w:val="0"/>
        </w:rPr>
      </w:r>
    </w:p>
    <w:tbl>
      <w:tblPr>
        <w:tblStyle w:val="Table46"/>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40">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1"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GMA3sbApJTbIVPgIiBEToLXRQ==">CgMxLjAaHwoBMBIaChgICVIUChJ0YWJsZS5wZXJmb3k5emIxcXEaHwoBMRIaChgICVIUChJ0YWJsZS5haHNqOGhoNW9vbWw4AHIhMVBkWHBkSjhhTlgzNlBmYXV5SW9SQnlZRlRZQUFjcmtu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