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066F" w14:textId="02078ED3" w:rsidR="008478E2" w:rsidRDefault="009E5FC6" w:rsidP="00603B8B">
      <w:pPr>
        <w:spacing w:line="276" w:lineRule="auto"/>
        <w:contextualSpacing/>
        <w:jc w:val="both"/>
        <w:rPr>
          <w:rFonts w:asciiTheme="majorHAnsi" w:hAnsiTheme="majorHAnsi"/>
          <w:b/>
          <w:bCs/>
        </w:rPr>
      </w:pPr>
      <w:r>
        <w:rPr>
          <w:rFonts w:asciiTheme="majorHAnsi" w:hAnsiTheme="majorHAnsi"/>
          <w:b/>
          <w:bCs/>
        </w:rPr>
        <w:t>Council Conclusions</w:t>
      </w:r>
      <w:r w:rsidR="00F37B16">
        <w:rPr>
          <w:rFonts w:asciiTheme="majorHAnsi" w:hAnsiTheme="majorHAnsi"/>
          <w:b/>
          <w:bCs/>
        </w:rPr>
        <w:t xml:space="preserve"> on Independent Living </w:t>
      </w:r>
      <w:r w:rsidR="00174657">
        <w:rPr>
          <w:rFonts w:asciiTheme="majorHAnsi" w:hAnsiTheme="majorHAnsi"/>
          <w:b/>
          <w:bCs/>
        </w:rPr>
        <w:t>are a missed opportunity</w:t>
      </w:r>
    </w:p>
    <w:p w14:paraId="0E599DEF" w14:textId="77777777" w:rsidR="00603B8B" w:rsidRPr="00A97671" w:rsidRDefault="00603B8B" w:rsidP="00603B8B">
      <w:pPr>
        <w:spacing w:line="276" w:lineRule="auto"/>
        <w:contextualSpacing/>
        <w:rPr>
          <w:rFonts w:asciiTheme="majorHAnsi" w:hAnsiTheme="majorHAnsi"/>
          <w:b/>
          <w:bCs/>
        </w:rPr>
      </w:pPr>
    </w:p>
    <w:p w14:paraId="7B64862E" w14:textId="77777777" w:rsidR="00A545F0" w:rsidRPr="00A97671" w:rsidRDefault="00A545F0" w:rsidP="00603B8B">
      <w:pPr>
        <w:spacing w:line="276" w:lineRule="auto"/>
        <w:contextualSpacing/>
        <w:jc w:val="center"/>
        <w:rPr>
          <w:rFonts w:asciiTheme="majorHAnsi" w:hAnsiTheme="majorHAnsi"/>
          <w:b/>
          <w:bCs/>
        </w:rPr>
      </w:pPr>
    </w:p>
    <w:p w14:paraId="03ADFB50" w14:textId="549FAEB9" w:rsidR="00C8367D" w:rsidRPr="00A97671" w:rsidRDefault="00C8367D" w:rsidP="00603B8B">
      <w:pPr>
        <w:spacing w:line="276" w:lineRule="auto"/>
        <w:contextualSpacing/>
        <w:jc w:val="both"/>
        <w:rPr>
          <w:rFonts w:asciiTheme="majorHAnsi" w:hAnsiTheme="majorHAnsi"/>
        </w:rPr>
      </w:pPr>
      <w:r w:rsidRPr="00A97671">
        <w:rPr>
          <w:rFonts w:asciiTheme="majorHAnsi" w:hAnsiTheme="majorHAnsi"/>
          <w:lang w:val="de-DE"/>
        </w:rPr>
        <w:t xml:space="preserve">On </w:t>
      </w:r>
      <w:r w:rsidR="009E5FC6">
        <w:rPr>
          <w:rFonts w:asciiTheme="majorHAnsi" w:hAnsiTheme="majorHAnsi"/>
          <w:lang w:val="de-DE"/>
        </w:rPr>
        <w:t xml:space="preserve">17 </w:t>
      </w:r>
      <w:proofErr w:type="spellStart"/>
      <w:r w:rsidR="00142E91">
        <w:rPr>
          <w:rFonts w:asciiTheme="majorHAnsi" w:hAnsiTheme="majorHAnsi"/>
          <w:lang w:val="de-DE"/>
        </w:rPr>
        <w:t>October</w:t>
      </w:r>
      <w:proofErr w:type="spellEnd"/>
      <w:r w:rsidR="00142E91">
        <w:rPr>
          <w:rFonts w:asciiTheme="majorHAnsi" w:hAnsiTheme="majorHAnsi"/>
          <w:lang w:val="de-DE"/>
        </w:rPr>
        <w:t xml:space="preserve"> 2025</w:t>
      </w:r>
      <w:r w:rsidR="009E5FC6">
        <w:rPr>
          <w:rFonts w:asciiTheme="majorHAnsi" w:hAnsiTheme="majorHAnsi"/>
          <w:lang w:val="de-DE"/>
        </w:rPr>
        <w:t>,</w:t>
      </w:r>
      <w:r w:rsidRPr="00A97671">
        <w:rPr>
          <w:rFonts w:asciiTheme="majorHAnsi" w:hAnsiTheme="majorHAnsi"/>
          <w:lang w:val="de-DE"/>
        </w:rPr>
        <w:t xml:space="preserve"> </w:t>
      </w:r>
      <w:proofErr w:type="spellStart"/>
      <w:r w:rsidRPr="00A97671">
        <w:rPr>
          <w:rFonts w:asciiTheme="majorHAnsi" w:hAnsiTheme="majorHAnsi"/>
          <w:lang w:val="de-DE"/>
        </w:rPr>
        <w:t>the</w:t>
      </w:r>
      <w:proofErr w:type="spellEnd"/>
      <w:r w:rsidRPr="00A97671">
        <w:rPr>
          <w:rFonts w:asciiTheme="majorHAnsi" w:hAnsiTheme="majorHAnsi"/>
          <w:lang w:val="de-DE"/>
        </w:rPr>
        <w:t xml:space="preserve"> </w:t>
      </w:r>
      <w:r w:rsidRPr="00A97671">
        <w:rPr>
          <w:rFonts w:asciiTheme="majorHAnsi" w:hAnsiTheme="majorHAnsi"/>
        </w:rPr>
        <w:t xml:space="preserve">Employment, Social Policy, Health and Consumer Affairs EU Council adopted </w:t>
      </w:r>
      <w:hyperlink r:id="rId7" w:history="1">
        <w:r w:rsidRPr="008D1BC0">
          <w:rPr>
            <w:rStyle w:val="Hyperlink"/>
            <w:rFonts w:asciiTheme="majorHAnsi" w:hAnsiTheme="majorHAnsi"/>
          </w:rPr>
          <w:t>Council Conclusions</w:t>
        </w:r>
      </w:hyperlink>
      <w:r w:rsidRPr="00A97671">
        <w:rPr>
          <w:rFonts w:asciiTheme="majorHAnsi" w:hAnsiTheme="majorHAnsi"/>
        </w:rPr>
        <w:t xml:space="preserve"> </w:t>
      </w:r>
      <w:r w:rsidR="006274C9" w:rsidRPr="00A97671">
        <w:rPr>
          <w:rFonts w:asciiTheme="majorHAnsi" w:hAnsiTheme="majorHAnsi"/>
        </w:rPr>
        <w:t>on the social inclusion of persons with disabilities through the promotion of Independent Living</w:t>
      </w:r>
      <w:r w:rsidR="00F37B16">
        <w:rPr>
          <w:rFonts w:asciiTheme="majorHAnsi" w:hAnsiTheme="majorHAnsi"/>
        </w:rPr>
        <w:t xml:space="preserve"> </w:t>
      </w:r>
      <w:r w:rsidR="00F37B16" w:rsidRPr="00F37B16">
        <w:rPr>
          <w:rFonts w:asciiTheme="majorHAnsi" w:hAnsiTheme="majorHAnsi"/>
        </w:rPr>
        <w:t>13386/25</w:t>
      </w:r>
      <w:r w:rsidR="00F37B16">
        <w:rPr>
          <w:rFonts w:asciiTheme="majorHAnsi" w:hAnsiTheme="majorHAnsi"/>
        </w:rPr>
        <w:t>´</w:t>
      </w:r>
      <w:r w:rsidR="00F37B16" w:rsidRPr="00F37B16">
        <w:rPr>
          <w:rFonts w:asciiTheme="majorHAnsi" w:hAnsiTheme="majorHAnsi"/>
        </w:rPr>
        <w:t>SOC 632</w:t>
      </w:r>
      <w:r w:rsidR="006274C9" w:rsidRPr="00A97671">
        <w:rPr>
          <w:rFonts w:asciiTheme="majorHAnsi" w:hAnsiTheme="majorHAnsi"/>
        </w:rPr>
        <w:t xml:space="preserve">. </w:t>
      </w:r>
    </w:p>
    <w:p w14:paraId="7B3963B7" w14:textId="77777777" w:rsidR="006274C9" w:rsidRDefault="006274C9" w:rsidP="003666D4">
      <w:pPr>
        <w:spacing w:line="276" w:lineRule="auto"/>
        <w:contextualSpacing/>
        <w:jc w:val="both"/>
        <w:rPr>
          <w:rFonts w:asciiTheme="majorHAnsi" w:hAnsiTheme="majorHAnsi"/>
        </w:rPr>
      </w:pPr>
    </w:p>
    <w:p w14:paraId="0EBFCB9F" w14:textId="3A165A37" w:rsidR="00886510" w:rsidRPr="00886510" w:rsidRDefault="00B5335D" w:rsidP="003666D4">
      <w:pPr>
        <w:spacing w:line="276" w:lineRule="auto"/>
        <w:contextualSpacing/>
        <w:jc w:val="both"/>
        <w:rPr>
          <w:rFonts w:asciiTheme="majorHAnsi" w:hAnsiTheme="majorHAnsi"/>
          <w:b/>
          <w:bCs/>
        </w:rPr>
      </w:pPr>
      <w:r>
        <w:rPr>
          <w:rFonts w:asciiTheme="majorHAnsi" w:hAnsiTheme="majorHAnsi"/>
          <w:b/>
          <w:bCs/>
        </w:rPr>
        <w:t>The EU Council taking notice</w:t>
      </w:r>
    </w:p>
    <w:p w14:paraId="0745856E" w14:textId="77777777" w:rsidR="00886510" w:rsidRPr="00A97671" w:rsidRDefault="00886510" w:rsidP="003666D4">
      <w:pPr>
        <w:spacing w:line="276" w:lineRule="auto"/>
        <w:contextualSpacing/>
        <w:jc w:val="both"/>
        <w:rPr>
          <w:rFonts w:asciiTheme="majorHAnsi" w:hAnsiTheme="majorHAnsi"/>
        </w:rPr>
      </w:pPr>
    </w:p>
    <w:p w14:paraId="21E2B310" w14:textId="74762A17" w:rsidR="00293AC2" w:rsidRPr="00A97671" w:rsidRDefault="001F2229" w:rsidP="003666D4">
      <w:pPr>
        <w:spacing w:line="276" w:lineRule="auto"/>
        <w:contextualSpacing/>
        <w:jc w:val="both"/>
        <w:rPr>
          <w:rFonts w:asciiTheme="majorHAnsi" w:hAnsiTheme="majorHAnsi"/>
        </w:rPr>
      </w:pPr>
      <w:r w:rsidRPr="00A97671">
        <w:rPr>
          <w:rFonts w:asciiTheme="majorHAnsi" w:hAnsiTheme="majorHAnsi"/>
        </w:rPr>
        <w:t xml:space="preserve">In the opening remarks </w:t>
      </w:r>
      <w:r w:rsidR="00293AC2" w:rsidRPr="00A97671">
        <w:rPr>
          <w:rFonts w:asciiTheme="majorHAnsi" w:hAnsiTheme="majorHAnsi"/>
        </w:rPr>
        <w:t xml:space="preserve">the EU Council </w:t>
      </w:r>
      <w:r w:rsidR="009D146E">
        <w:rPr>
          <w:rFonts w:asciiTheme="majorHAnsi" w:hAnsiTheme="majorHAnsi"/>
        </w:rPr>
        <w:t xml:space="preserve">takes notice of </w:t>
      </w:r>
      <w:r w:rsidR="00293AC2" w:rsidRPr="00A97671">
        <w:rPr>
          <w:rFonts w:asciiTheme="majorHAnsi" w:hAnsiTheme="majorHAnsi"/>
        </w:rPr>
        <w:t>many well know</w:t>
      </w:r>
      <w:r w:rsidR="00161E8B" w:rsidRPr="00A97671">
        <w:rPr>
          <w:rFonts w:asciiTheme="majorHAnsi" w:hAnsiTheme="majorHAnsi"/>
        </w:rPr>
        <w:t>n</w:t>
      </w:r>
      <w:r w:rsidR="00293AC2" w:rsidRPr="00A97671">
        <w:rPr>
          <w:rFonts w:asciiTheme="majorHAnsi" w:hAnsiTheme="majorHAnsi"/>
        </w:rPr>
        <w:t xml:space="preserve"> </w:t>
      </w:r>
      <w:r w:rsidR="00161E8B" w:rsidRPr="00A97671">
        <w:rPr>
          <w:rFonts w:asciiTheme="majorHAnsi" w:hAnsiTheme="majorHAnsi"/>
        </w:rPr>
        <w:t xml:space="preserve">but important </w:t>
      </w:r>
      <w:r w:rsidR="00293AC2" w:rsidRPr="00A97671">
        <w:rPr>
          <w:rFonts w:asciiTheme="majorHAnsi" w:hAnsiTheme="majorHAnsi"/>
        </w:rPr>
        <w:t>facts</w:t>
      </w:r>
      <w:r w:rsidR="00B559F2" w:rsidRPr="00A97671">
        <w:rPr>
          <w:rFonts w:asciiTheme="majorHAnsi" w:hAnsiTheme="majorHAnsi"/>
        </w:rPr>
        <w:t xml:space="preserve">. For example: </w:t>
      </w:r>
      <w:r w:rsidR="00293AC2" w:rsidRPr="00A97671">
        <w:rPr>
          <w:rFonts w:asciiTheme="majorHAnsi" w:hAnsiTheme="majorHAnsi"/>
        </w:rPr>
        <w:t xml:space="preserve"> </w:t>
      </w:r>
    </w:p>
    <w:p w14:paraId="355102E5" w14:textId="73D12410" w:rsidR="00293AC2" w:rsidRPr="00A97671" w:rsidRDefault="00B41191"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 xml:space="preserve">The EU </w:t>
      </w:r>
      <w:r w:rsidR="0062540A" w:rsidRPr="00A97671">
        <w:rPr>
          <w:rFonts w:asciiTheme="majorHAnsi" w:hAnsiTheme="majorHAnsi"/>
        </w:rPr>
        <w:t xml:space="preserve">Disability Strategy </w:t>
      </w:r>
      <w:r w:rsidR="00161E8B" w:rsidRPr="00A97671">
        <w:rPr>
          <w:rFonts w:asciiTheme="majorHAnsi" w:hAnsiTheme="majorHAnsi"/>
        </w:rPr>
        <w:t>“supports the implementation of</w:t>
      </w:r>
      <w:r w:rsidR="0062540A" w:rsidRPr="00A97671">
        <w:rPr>
          <w:rFonts w:asciiTheme="majorHAnsi" w:hAnsiTheme="majorHAnsi"/>
        </w:rPr>
        <w:t xml:space="preserve"> the United Nations Convention on the Rights of Persons </w:t>
      </w:r>
      <w:r w:rsidR="00161E8B" w:rsidRPr="00A97671">
        <w:rPr>
          <w:rFonts w:asciiTheme="majorHAnsi" w:hAnsiTheme="majorHAnsi"/>
        </w:rPr>
        <w:t>with</w:t>
      </w:r>
      <w:r w:rsidR="0062540A" w:rsidRPr="00A97671">
        <w:rPr>
          <w:rFonts w:asciiTheme="majorHAnsi" w:hAnsiTheme="majorHAnsi"/>
        </w:rPr>
        <w:t xml:space="preserve"> Disabilities</w:t>
      </w:r>
      <w:r w:rsidR="00161E8B" w:rsidRPr="00A97671">
        <w:rPr>
          <w:rFonts w:asciiTheme="majorHAnsi" w:hAnsiTheme="majorHAnsi"/>
        </w:rPr>
        <w:t>”</w:t>
      </w:r>
    </w:p>
    <w:p w14:paraId="26C0E21C" w14:textId="2870FF5B" w:rsidR="00161E8B" w:rsidRPr="00A97671" w:rsidRDefault="00BF6A12"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 xml:space="preserve">All “EU institutions and agencies should take the needs of persons with disabilities </w:t>
      </w:r>
      <w:r w:rsidR="002B27E3" w:rsidRPr="00A97671">
        <w:rPr>
          <w:rFonts w:asciiTheme="majorHAnsi" w:hAnsiTheme="majorHAnsi"/>
        </w:rPr>
        <w:t>into consideration”</w:t>
      </w:r>
    </w:p>
    <w:p w14:paraId="4D9F49D7" w14:textId="0F99F540" w:rsidR="002B27E3" w:rsidRPr="00A97671" w:rsidRDefault="002B27E3"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 xml:space="preserve">“The right </w:t>
      </w:r>
      <w:r w:rsidR="00981936" w:rsidRPr="00A97671">
        <w:rPr>
          <w:rFonts w:asciiTheme="majorHAnsi" w:hAnsiTheme="majorHAnsi"/>
        </w:rPr>
        <w:t xml:space="preserve">to independent living </w:t>
      </w:r>
      <w:r w:rsidR="00857226" w:rsidRPr="00A97671">
        <w:rPr>
          <w:rFonts w:asciiTheme="majorHAnsi" w:hAnsiTheme="majorHAnsi"/>
        </w:rPr>
        <w:t>is enshrined in article 19 of the UNCRPD”</w:t>
      </w:r>
    </w:p>
    <w:p w14:paraId="10EBA9F9" w14:textId="1F215EF0" w:rsidR="00133CF2" w:rsidRPr="00A97671" w:rsidRDefault="00830CE3"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That according to research from 2020 “more than one million persons with disabilities aged under 65</w:t>
      </w:r>
      <w:r w:rsidR="00B90DF6" w:rsidRPr="00A97671">
        <w:rPr>
          <w:rFonts w:asciiTheme="majorHAnsi" w:hAnsiTheme="majorHAnsi"/>
        </w:rPr>
        <w:t>, and more than two million persons with disabilities over 65, lived in institutions in the EU”</w:t>
      </w:r>
    </w:p>
    <w:p w14:paraId="1449C885" w14:textId="0A7C179A" w:rsidR="00310799" w:rsidRPr="009E5FC6" w:rsidRDefault="004D55C8"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 xml:space="preserve">The “provision of ... </w:t>
      </w:r>
      <w:r w:rsidR="007A2874" w:rsidRPr="00A97671">
        <w:rPr>
          <w:rFonts w:asciiTheme="majorHAnsi" w:hAnsiTheme="majorHAnsi"/>
        </w:rPr>
        <w:t>personal assistance, supported decision making and support networks, is essential”</w:t>
      </w:r>
    </w:p>
    <w:p w14:paraId="7CE553A0" w14:textId="6333EB51" w:rsidR="009E5FC6" w:rsidRPr="00A97671" w:rsidRDefault="009E5FC6" w:rsidP="003666D4">
      <w:pPr>
        <w:pStyle w:val="Listenabsatz"/>
        <w:numPr>
          <w:ilvl w:val="0"/>
          <w:numId w:val="1"/>
        </w:numPr>
        <w:spacing w:line="276" w:lineRule="auto"/>
        <w:jc w:val="both"/>
        <w:rPr>
          <w:rFonts w:asciiTheme="majorHAnsi" w:hAnsiTheme="majorHAnsi"/>
        </w:rPr>
      </w:pPr>
      <w:r>
        <w:rPr>
          <w:rFonts w:asciiTheme="majorHAnsi" w:hAnsiTheme="majorHAnsi"/>
        </w:rPr>
        <w:t>The Commission Notice Guidance on independent living “provides practical recommendations to Member States on the use of EU funding”</w:t>
      </w:r>
    </w:p>
    <w:p w14:paraId="5160E5A0" w14:textId="77777777" w:rsidR="00164049" w:rsidRDefault="00164049" w:rsidP="003666D4">
      <w:pPr>
        <w:pStyle w:val="Listenabsatz"/>
        <w:spacing w:line="276" w:lineRule="auto"/>
        <w:jc w:val="both"/>
        <w:rPr>
          <w:rFonts w:asciiTheme="majorHAnsi" w:hAnsiTheme="majorHAnsi"/>
        </w:rPr>
      </w:pPr>
    </w:p>
    <w:p w14:paraId="3B346BF3" w14:textId="3BACCA0D" w:rsidR="00886510" w:rsidRPr="009D146E" w:rsidRDefault="00886510" w:rsidP="003666D4">
      <w:pPr>
        <w:pStyle w:val="Listenabsatz"/>
        <w:spacing w:line="276" w:lineRule="auto"/>
        <w:ind w:left="0"/>
        <w:jc w:val="both"/>
        <w:rPr>
          <w:rFonts w:asciiTheme="majorHAnsi" w:hAnsiTheme="majorHAnsi"/>
          <w:b/>
          <w:bCs/>
        </w:rPr>
      </w:pPr>
      <w:r w:rsidRPr="009D146E">
        <w:rPr>
          <w:rFonts w:asciiTheme="majorHAnsi" w:hAnsiTheme="majorHAnsi"/>
          <w:b/>
          <w:bCs/>
        </w:rPr>
        <w:t>Ca</w:t>
      </w:r>
      <w:r w:rsidR="00AF1262" w:rsidRPr="009D146E">
        <w:rPr>
          <w:rFonts w:asciiTheme="majorHAnsi" w:hAnsiTheme="majorHAnsi"/>
          <w:b/>
          <w:bCs/>
        </w:rPr>
        <w:t xml:space="preserve">lling on the </w:t>
      </w:r>
      <w:r w:rsidR="009D146E" w:rsidRPr="009D146E">
        <w:rPr>
          <w:rFonts w:asciiTheme="majorHAnsi" w:hAnsiTheme="majorHAnsi"/>
          <w:b/>
          <w:bCs/>
        </w:rPr>
        <w:t>Members States and the European Commission</w:t>
      </w:r>
    </w:p>
    <w:p w14:paraId="5C7A73C5" w14:textId="2C19F215" w:rsidR="00A91DB7" w:rsidRPr="00A97671" w:rsidRDefault="00164049" w:rsidP="003666D4">
      <w:pPr>
        <w:spacing w:line="276" w:lineRule="auto"/>
        <w:contextualSpacing/>
        <w:jc w:val="both"/>
        <w:rPr>
          <w:rFonts w:asciiTheme="majorHAnsi" w:hAnsiTheme="majorHAnsi"/>
        </w:rPr>
      </w:pPr>
      <w:r w:rsidRPr="00A97671">
        <w:rPr>
          <w:rFonts w:asciiTheme="majorHAnsi" w:hAnsiTheme="majorHAnsi"/>
        </w:rPr>
        <w:t>T</w:t>
      </w:r>
      <w:r w:rsidR="00A91DB7" w:rsidRPr="00A97671">
        <w:rPr>
          <w:rFonts w:asciiTheme="majorHAnsi" w:hAnsiTheme="majorHAnsi"/>
        </w:rPr>
        <w:t xml:space="preserve">he EU Council proceeds to </w:t>
      </w:r>
      <w:r w:rsidR="00CC602B" w:rsidRPr="00A97671">
        <w:rPr>
          <w:rFonts w:asciiTheme="majorHAnsi" w:hAnsiTheme="majorHAnsi"/>
        </w:rPr>
        <w:t xml:space="preserve">direct various calls </w:t>
      </w:r>
      <w:r w:rsidR="00C70E1F" w:rsidRPr="00A97671">
        <w:rPr>
          <w:rFonts w:asciiTheme="majorHAnsi" w:hAnsiTheme="majorHAnsi"/>
        </w:rPr>
        <w:t>at</w:t>
      </w:r>
      <w:r w:rsidR="00CC602B" w:rsidRPr="00A97671">
        <w:rPr>
          <w:rFonts w:asciiTheme="majorHAnsi" w:hAnsiTheme="majorHAnsi"/>
        </w:rPr>
        <w:t xml:space="preserve"> the </w:t>
      </w:r>
      <w:r w:rsidR="00A91DB7" w:rsidRPr="00A97671">
        <w:rPr>
          <w:rFonts w:asciiTheme="majorHAnsi" w:hAnsiTheme="majorHAnsi"/>
        </w:rPr>
        <w:t>Member States</w:t>
      </w:r>
      <w:r w:rsidR="00041FB5">
        <w:rPr>
          <w:rFonts w:asciiTheme="majorHAnsi" w:hAnsiTheme="majorHAnsi"/>
        </w:rPr>
        <w:t>, which is positive</w:t>
      </w:r>
      <w:r w:rsidR="00CC602B" w:rsidRPr="00A97671">
        <w:rPr>
          <w:rFonts w:asciiTheme="majorHAnsi" w:hAnsiTheme="majorHAnsi"/>
        </w:rPr>
        <w:t>. For exam</w:t>
      </w:r>
      <w:r w:rsidR="00C70E1F" w:rsidRPr="00A97671">
        <w:rPr>
          <w:rFonts w:asciiTheme="majorHAnsi" w:hAnsiTheme="majorHAnsi"/>
        </w:rPr>
        <w:t xml:space="preserve">ple: </w:t>
      </w:r>
    </w:p>
    <w:p w14:paraId="13AED511" w14:textId="42C17531" w:rsidR="00A91DB7" w:rsidRPr="00A97671" w:rsidRDefault="00A91DB7"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w:t>
      </w:r>
      <w:r w:rsidR="008F7F63" w:rsidRPr="00A97671">
        <w:rPr>
          <w:rFonts w:asciiTheme="majorHAnsi" w:hAnsiTheme="majorHAnsi"/>
        </w:rPr>
        <w:t>Develop or further improve measures for the promotion of independent living of persons with disabilities”</w:t>
      </w:r>
    </w:p>
    <w:p w14:paraId="778020D6" w14:textId="015A17FD" w:rsidR="008F7F63" w:rsidRPr="00A97671" w:rsidRDefault="00420874" w:rsidP="003666D4">
      <w:pPr>
        <w:pStyle w:val="Listenabsatz"/>
        <w:numPr>
          <w:ilvl w:val="0"/>
          <w:numId w:val="1"/>
        </w:numPr>
        <w:spacing w:line="276" w:lineRule="auto"/>
        <w:jc w:val="both"/>
        <w:rPr>
          <w:rFonts w:asciiTheme="majorHAnsi" w:hAnsiTheme="majorHAnsi"/>
        </w:rPr>
      </w:pPr>
      <w:r w:rsidRPr="00A97671">
        <w:rPr>
          <w:rFonts w:asciiTheme="majorHAnsi" w:hAnsiTheme="majorHAnsi"/>
        </w:rPr>
        <w:t>“</w:t>
      </w:r>
      <w:r w:rsidR="00B776EE" w:rsidRPr="00A97671">
        <w:rPr>
          <w:rFonts w:asciiTheme="majorHAnsi" w:hAnsiTheme="majorHAnsi"/>
        </w:rPr>
        <w:t>Draw on existing knowledge and best practices, t</w:t>
      </w:r>
      <w:r w:rsidRPr="00A97671">
        <w:rPr>
          <w:rFonts w:asciiTheme="majorHAnsi" w:hAnsiTheme="majorHAnsi"/>
        </w:rPr>
        <w:t>aking into consideration the approach reflected in the Commission</w:t>
      </w:r>
      <w:r w:rsidR="00041FB5">
        <w:rPr>
          <w:rFonts w:asciiTheme="majorHAnsi" w:hAnsiTheme="majorHAnsi"/>
        </w:rPr>
        <w:t>’</w:t>
      </w:r>
      <w:r w:rsidRPr="00A97671">
        <w:rPr>
          <w:rFonts w:asciiTheme="majorHAnsi" w:hAnsiTheme="majorHAnsi"/>
        </w:rPr>
        <w:t>s Guidance on Independent Living”</w:t>
      </w:r>
    </w:p>
    <w:p w14:paraId="4318ECD5" w14:textId="5D2A4DD1" w:rsidR="004F5B1D" w:rsidRPr="00041FB5" w:rsidRDefault="00A01BC0" w:rsidP="004F5B1D">
      <w:pPr>
        <w:pStyle w:val="Listenabsatz"/>
        <w:numPr>
          <w:ilvl w:val="0"/>
          <w:numId w:val="1"/>
        </w:numPr>
        <w:spacing w:line="276" w:lineRule="auto"/>
        <w:jc w:val="both"/>
        <w:rPr>
          <w:rFonts w:asciiTheme="majorHAnsi" w:hAnsiTheme="majorHAnsi"/>
        </w:rPr>
      </w:pPr>
      <w:r w:rsidRPr="00A97671">
        <w:rPr>
          <w:rFonts w:asciiTheme="majorHAnsi" w:hAnsiTheme="majorHAnsi"/>
        </w:rPr>
        <w:lastRenderedPageBreak/>
        <w:t>“Support interventions to enable persons with disabilities to live independently in the community”</w:t>
      </w:r>
    </w:p>
    <w:p w14:paraId="212255E9" w14:textId="28F0FCE2" w:rsidR="00041FB5" w:rsidRPr="004F5B1D" w:rsidRDefault="00041FB5" w:rsidP="004F5B1D">
      <w:pPr>
        <w:pStyle w:val="Listenabsatz"/>
        <w:numPr>
          <w:ilvl w:val="0"/>
          <w:numId w:val="1"/>
        </w:numPr>
        <w:spacing w:line="276" w:lineRule="auto"/>
        <w:jc w:val="both"/>
        <w:rPr>
          <w:rFonts w:asciiTheme="majorHAnsi" w:hAnsiTheme="majorHAnsi"/>
        </w:rPr>
      </w:pPr>
      <w:r>
        <w:rPr>
          <w:rFonts w:asciiTheme="majorHAnsi" w:hAnsiTheme="majorHAnsi"/>
        </w:rPr>
        <w:t>Ensure access to “accessible and non-segregated places of residence, which can take many forms, from individual dwellings to cohabitation arrangements and different types of tenancies”</w:t>
      </w:r>
    </w:p>
    <w:p w14:paraId="2F44202A" w14:textId="285E4CAD" w:rsidR="002F5B82" w:rsidRDefault="00595D4A" w:rsidP="003666D4">
      <w:pPr>
        <w:spacing w:line="276" w:lineRule="auto"/>
        <w:contextualSpacing/>
        <w:jc w:val="both"/>
        <w:rPr>
          <w:rFonts w:asciiTheme="majorHAnsi" w:hAnsiTheme="majorHAnsi"/>
        </w:rPr>
      </w:pPr>
      <w:r>
        <w:rPr>
          <w:rFonts w:asciiTheme="majorHAnsi" w:hAnsiTheme="majorHAnsi"/>
        </w:rPr>
        <w:t xml:space="preserve">It is positive that the Member States are </w:t>
      </w:r>
      <w:r w:rsidR="00767C9D">
        <w:rPr>
          <w:rFonts w:asciiTheme="majorHAnsi" w:hAnsiTheme="majorHAnsi"/>
        </w:rPr>
        <w:t xml:space="preserve">asked to work with the </w:t>
      </w:r>
      <w:hyperlink r:id="rId8" w:history="1">
        <w:r w:rsidR="00767C9D" w:rsidRPr="00656526">
          <w:rPr>
            <w:rStyle w:val="Hyperlink"/>
            <w:rFonts w:asciiTheme="majorHAnsi" w:hAnsiTheme="majorHAnsi"/>
          </w:rPr>
          <w:t>European Commission Guidance on Independent Living and inclusion in the community</w:t>
        </w:r>
      </w:hyperlink>
      <w:r w:rsidR="00041FB5">
        <w:t>, to make progress on personal assistance and other community-based services, to end segregation</w:t>
      </w:r>
      <w:r w:rsidR="00767C9D">
        <w:rPr>
          <w:rFonts w:asciiTheme="majorHAnsi" w:hAnsiTheme="majorHAnsi"/>
        </w:rPr>
        <w:t xml:space="preserve">. </w:t>
      </w:r>
      <w:r w:rsidR="00DD1B64">
        <w:rPr>
          <w:rFonts w:asciiTheme="majorHAnsi" w:hAnsiTheme="majorHAnsi"/>
        </w:rPr>
        <w:t>he</w:t>
      </w:r>
      <w:r w:rsidR="002C6F65">
        <w:rPr>
          <w:rFonts w:asciiTheme="majorHAnsi" w:hAnsiTheme="majorHAnsi"/>
        </w:rPr>
        <w:t xml:space="preserve"> </w:t>
      </w:r>
      <w:r w:rsidR="00E80B1B">
        <w:rPr>
          <w:rFonts w:asciiTheme="majorHAnsi" w:hAnsiTheme="majorHAnsi"/>
        </w:rPr>
        <w:t xml:space="preserve">absence </w:t>
      </w:r>
      <w:r w:rsidR="002624A5">
        <w:rPr>
          <w:rFonts w:asciiTheme="majorHAnsi" w:hAnsiTheme="majorHAnsi"/>
        </w:rPr>
        <w:t xml:space="preserve">of proposals for </w:t>
      </w:r>
      <w:r w:rsidR="0032368F">
        <w:rPr>
          <w:rFonts w:asciiTheme="majorHAnsi" w:hAnsiTheme="majorHAnsi"/>
        </w:rPr>
        <w:t xml:space="preserve">specific </w:t>
      </w:r>
      <w:r w:rsidR="00242120">
        <w:rPr>
          <w:rFonts w:asciiTheme="majorHAnsi" w:hAnsiTheme="majorHAnsi"/>
        </w:rPr>
        <w:t xml:space="preserve">actions </w:t>
      </w:r>
      <w:r w:rsidR="002F1B60">
        <w:rPr>
          <w:rFonts w:asciiTheme="majorHAnsi" w:hAnsiTheme="majorHAnsi"/>
        </w:rPr>
        <w:t xml:space="preserve">creates </w:t>
      </w:r>
      <w:r w:rsidR="005F330E">
        <w:rPr>
          <w:rFonts w:asciiTheme="majorHAnsi" w:hAnsiTheme="majorHAnsi"/>
        </w:rPr>
        <w:t xml:space="preserve">doubt about the added value </w:t>
      </w:r>
      <w:r w:rsidR="002F1B60">
        <w:rPr>
          <w:rFonts w:asciiTheme="majorHAnsi" w:hAnsiTheme="majorHAnsi"/>
        </w:rPr>
        <w:t xml:space="preserve">of the </w:t>
      </w:r>
      <w:r w:rsidR="00041FB5">
        <w:rPr>
          <w:rFonts w:asciiTheme="majorHAnsi" w:hAnsiTheme="majorHAnsi"/>
        </w:rPr>
        <w:t>Council Conclusions</w:t>
      </w:r>
      <w:r w:rsidR="002F1B60">
        <w:rPr>
          <w:rFonts w:asciiTheme="majorHAnsi" w:hAnsiTheme="majorHAnsi"/>
        </w:rPr>
        <w:t>.</w:t>
      </w:r>
      <w:r w:rsidR="00823644">
        <w:rPr>
          <w:rFonts w:asciiTheme="majorHAnsi" w:hAnsiTheme="majorHAnsi"/>
        </w:rPr>
        <w:t xml:space="preserve"> </w:t>
      </w:r>
    </w:p>
    <w:p w14:paraId="09136BE3" w14:textId="77777777" w:rsidR="009D146E" w:rsidRDefault="009D146E" w:rsidP="003666D4">
      <w:pPr>
        <w:spacing w:line="276" w:lineRule="auto"/>
        <w:contextualSpacing/>
        <w:jc w:val="both"/>
        <w:rPr>
          <w:rFonts w:asciiTheme="majorHAnsi" w:hAnsiTheme="majorHAnsi"/>
        </w:rPr>
      </w:pPr>
    </w:p>
    <w:p w14:paraId="0F49315B" w14:textId="4CC75DAB" w:rsidR="009D146E" w:rsidRDefault="009D146E" w:rsidP="003666D4">
      <w:pPr>
        <w:spacing w:line="276" w:lineRule="auto"/>
        <w:contextualSpacing/>
        <w:jc w:val="both"/>
        <w:rPr>
          <w:rFonts w:asciiTheme="majorHAnsi" w:hAnsiTheme="majorHAnsi"/>
          <w:b/>
          <w:bCs/>
        </w:rPr>
      </w:pPr>
      <w:r w:rsidRPr="009D146E">
        <w:rPr>
          <w:rFonts w:asciiTheme="majorHAnsi" w:hAnsiTheme="majorHAnsi"/>
          <w:b/>
          <w:bCs/>
        </w:rPr>
        <w:t>Ignoring the Concluding Observations of the CRPD-Committee</w:t>
      </w:r>
    </w:p>
    <w:p w14:paraId="5F2D8B3D" w14:textId="77777777" w:rsidR="003666D4" w:rsidRPr="009D146E" w:rsidRDefault="003666D4" w:rsidP="003666D4">
      <w:pPr>
        <w:spacing w:line="276" w:lineRule="auto"/>
        <w:contextualSpacing/>
        <w:jc w:val="both"/>
        <w:rPr>
          <w:rFonts w:asciiTheme="majorHAnsi" w:hAnsiTheme="majorHAnsi"/>
          <w:b/>
          <w:bCs/>
        </w:rPr>
      </w:pPr>
    </w:p>
    <w:p w14:paraId="1146E456" w14:textId="4DD0FE20" w:rsidR="00946E8C" w:rsidRDefault="00946E8C" w:rsidP="003666D4">
      <w:pPr>
        <w:spacing w:line="276" w:lineRule="auto"/>
        <w:contextualSpacing/>
        <w:jc w:val="both"/>
        <w:rPr>
          <w:rFonts w:asciiTheme="majorHAnsi" w:hAnsiTheme="majorHAnsi"/>
        </w:rPr>
      </w:pPr>
      <w:r w:rsidRPr="00A97671">
        <w:rPr>
          <w:rFonts w:asciiTheme="majorHAnsi" w:hAnsiTheme="majorHAnsi"/>
        </w:rPr>
        <w:t>In paragraph 21</w:t>
      </w:r>
      <w:r w:rsidR="00054C75">
        <w:rPr>
          <w:rFonts w:asciiTheme="majorHAnsi" w:hAnsiTheme="majorHAnsi"/>
        </w:rPr>
        <w:t xml:space="preserve"> of the Council Conclusions,</w:t>
      </w:r>
      <w:r w:rsidRPr="00A97671">
        <w:rPr>
          <w:rFonts w:asciiTheme="majorHAnsi" w:hAnsiTheme="majorHAnsi"/>
        </w:rPr>
        <w:t xml:space="preserve"> </w:t>
      </w:r>
      <w:r w:rsidR="00F660D8" w:rsidRPr="00A97671">
        <w:rPr>
          <w:rFonts w:asciiTheme="majorHAnsi" w:hAnsiTheme="majorHAnsi"/>
        </w:rPr>
        <w:t xml:space="preserve">the European Commission is called upon to: </w:t>
      </w:r>
    </w:p>
    <w:p w14:paraId="4EDBD680" w14:textId="77777777" w:rsidR="008D1BC0" w:rsidRPr="00A97671" w:rsidRDefault="008D1BC0" w:rsidP="003666D4">
      <w:pPr>
        <w:spacing w:line="276" w:lineRule="auto"/>
        <w:contextualSpacing/>
        <w:jc w:val="both"/>
        <w:rPr>
          <w:rFonts w:asciiTheme="majorHAnsi" w:hAnsiTheme="majorHAnsi"/>
        </w:rPr>
      </w:pPr>
    </w:p>
    <w:p w14:paraId="7A58277E" w14:textId="4800B456" w:rsidR="00F660D8" w:rsidRDefault="00F660D8" w:rsidP="003666D4">
      <w:pPr>
        <w:spacing w:line="276" w:lineRule="auto"/>
        <w:contextualSpacing/>
        <w:jc w:val="both"/>
        <w:rPr>
          <w:rFonts w:asciiTheme="majorHAnsi" w:hAnsiTheme="majorHAnsi"/>
        </w:rPr>
      </w:pPr>
      <w:r w:rsidRPr="00A97671">
        <w:rPr>
          <w:rFonts w:asciiTheme="majorHAnsi" w:hAnsiTheme="majorHAnsi"/>
        </w:rPr>
        <w:t>“</w:t>
      </w:r>
      <w:r w:rsidR="00B32E7D" w:rsidRPr="00A97671">
        <w:rPr>
          <w:rFonts w:asciiTheme="majorHAnsi" w:hAnsiTheme="majorHAnsi"/>
        </w:rPr>
        <w:t xml:space="preserve">Taking into account, as applicable, the </w:t>
      </w:r>
      <w:hyperlink r:id="rId9" w:history="1">
        <w:r w:rsidR="00B32E7D" w:rsidRPr="00EE58AD">
          <w:rPr>
            <w:rStyle w:val="Hyperlink"/>
            <w:rFonts w:asciiTheme="majorHAnsi" w:hAnsiTheme="majorHAnsi"/>
          </w:rPr>
          <w:t xml:space="preserve">Concluding </w:t>
        </w:r>
        <w:r w:rsidR="009D146E" w:rsidRPr="00EE58AD">
          <w:rPr>
            <w:rStyle w:val="Hyperlink"/>
            <w:rFonts w:asciiTheme="majorHAnsi" w:hAnsiTheme="majorHAnsi"/>
          </w:rPr>
          <w:t>O</w:t>
        </w:r>
        <w:r w:rsidR="00B32E7D" w:rsidRPr="00EE58AD">
          <w:rPr>
            <w:rStyle w:val="Hyperlink"/>
            <w:rFonts w:asciiTheme="majorHAnsi" w:hAnsiTheme="majorHAnsi"/>
          </w:rPr>
          <w:t xml:space="preserve">bservations on the combined second and </w:t>
        </w:r>
        <w:r w:rsidR="00AD270F" w:rsidRPr="00EE58AD">
          <w:rPr>
            <w:rStyle w:val="Hyperlink"/>
            <w:rFonts w:asciiTheme="majorHAnsi" w:hAnsiTheme="majorHAnsi"/>
          </w:rPr>
          <w:t xml:space="preserve">third </w:t>
        </w:r>
        <w:r w:rsidR="00B32E7D" w:rsidRPr="00EE58AD">
          <w:rPr>
            <w:rStyle w:val="Hyperlink"/>
            <w:rFonts w:asciiTheme="majorHAnsi" w:hAnsiTheme="majorHAnsi"/>
          </w:rPr>
          <w:t xml:space="preserve">periodic reports </w:t>
        </w:r>
        <w:r w:rsidR="00AD270F" w:rsidRPr="00EE58AD">
          <w:rPr>
            <w:rStyle w:val="Hyperlink"/>
            <w:rFonts w:asciiTheme="majorHAnsi" w:hAnsiTheme="majorHAnsi"/>
          </w:rPr>
          <w:t>of the European Union by the United Nations Committee on the Rights of Persons with Disabilities</w:t>
        </w:r>
      </w:hyperlink>
      <w:r w:rsidR="00AD270F" w:rsidRPr="00A97671">
        <w:rPr>
          <w:rFonts w:asciiTheme="majorHAnsi" w:hAnsiTheme="majorHAnsi"/>
        </w:rPr>
        <w:t>”</w:t>
      </w:r>
      <w:r w:rsidR="00362A2D" w:rsidRPr="00A97671">
        <w:rPr>
          <w:rFonts w:asciiTheme="majorHAnsi" w:hAnsiTheme="majorHAnsi"/>
        </w:rPr>
        <w:t>(CRPD</w:t>
      </w:r>
      <w:r w:rsidR="00054C75">
        <w:rPr>
          <w:rFonts w:asciiTheme="majorHAnsi" w:hAnsiTheme="majorHAnsi"/>
        </w:rPr>
        <w:t xml:space="preserve"> </w:t>
      </w:r>
      <w:r w:rsidR="00362A2D" w:rsidRPr="00A97671">
        <w:rPr>
          <w:rFonts w:asciiTheme="majorHAnsi" w:hAnsiTheme="majorHAnsi"/>
        </w:rPr>
        <w:t>Committee)</w:t>
      </w:r>
    </w:p>
    <w:p w14:paraId="1E70EB42" w14:textId="77777777" w:rsidR="002F1B60" w:rsidRPr="00A97671" w:rsidRDefault="002F1B60" w:rsidP="003666D4">
      <w:pPr>
        <w:spacing w:line="276" w:lineRule="auto"/>
        <w:contextualSpacing/>
        <w:jc w:val="both"/>
        <w:rPr>
          <w:rFonts w:asciiTheme="majorHAnsi" w:hAnsiTheme="majorHAnsi"/>
        </w:rPr>
      </w:pPr>
    </w:p>
    <w:p w14:paraId="0F465562" w14:textId="0FA70B79" w:rsidR="00A0519F" w:rsidRPr="00A97671" w:rsidRDefault="00054C75" w:rsidP="003666D4">
      <w:pPr>
        <w:spacing w:line="276" w:lineRule="auto"/>
        <w:contextualSpacing/>
        <w:jc w:val="both"/>
        <w:rPr>
          <w:rFonts w:asciiTheme="majorHAnsi" w:hAnsiTheme="majorHAnsi"/>
        </w:rPr>
      </w:pPr>
      <w:r>
        <w:rPr>
          <w:rFonts w:asciiTheme="majorHAnsi" w:hAnsiTheme="majorHAnsi"/>
        </w:rPr>
        <w:t>The s</w:t>
      </w:r>
      <w:r w:rsidR="00330544" w:rsidRPr="00A97671">
        <w:rPr>
          <w:rFonts w:asciiTheme="majorHAnsi" w:hAnsiTheme="majorHAnsi"/>
        </w:rPr>
        <w:t xml:space="preserve">aid Concluding </w:t>
      </w:r>
      <w:r>
        <w:rPr>
          <w:rFonts w:asciiTheme="majorHAnsi" w:hAnsiTheme="majorHAnsi"/>
        </w:rPr>
        <w:t>O</w:t>
      </w:r>
      <w:r w:rsidR="00330544" w:rsidRPr="00A97671">
        <w:rPr>
          <w:rFonts w:asciiTheme="majorHAnsi" w:hAnsiTheme="majorHAnsi"/>
        </w:rPr>
        <w:t xml:space="preserve">bservations directed very concrete demands </w:t>
      </w:r>
      <w:r w:rsidR="00A0519F" w:rsidRPr="00A97671">
        <w:rPr>
          <w:rFonts w:asciiTheme="majorHAnsi" w:hAnsiTheme="majorHAnsi"/>
        </w:rPr>
        <w:t xml:space="preserve">to the European Union. For </w:t>
      </w:r>
      <w:r w:rsidR="00300456" w:rsidRPr="00A97671">
        <w:rPr>
          <w:rFonts w:asciiTheme="majorHAnsi" w:hAnsiTheme="majorHAnsi"/>
        </w:rPr>
        <w:t>example:</w:t>
      </w:r>
    </w:p>
    <w:p w14:paraId="7284D8B5" w14:textId="6B139286" w:rsidR="00300456" w:rsidRPr="00A97671" w:rsidRDefault="00300456" w:rsidP="003666D4">
      <w:pPr>
        <w:pStyle w:val="Listenabsatz"/>
        <w:numPr>
          <w:ilvl w:val="0"/>
          <w:numId w:val="1"/>
        </w:numPr>
        <w:spacing w:line="276" w:lineRule="auto"/>
        <w:jc w:val="both"/>
        <w:rPr>
          <w:rFonts w:asciiTheme="majorHAnsi" w:hAnsiTheme="majorHAnsi"/>
          <w:b/>
          <w:bCs/>
        </w:rPr>
      </w:pPr>
      <w:r w:rsidRPr="00A97671">
        <w:rPr>
          <w:rFonts w:asciiTheme="majorHAnsi" w:hAnsiTheme="majorHAnsi"/>
          <w:bCs/>
        </w:rPr>
        <w:t xml:space="preserve">To </w:t>
      </w:r>
      <w:r w:rsidR="00054C75">
        <w:rPr>
          <w:rFonts w:asciiTheme="majorHAnsi" w:hAnsiTheme="majorHAnsi"/>
          <w:bCs/>
        </w:rPr>
        <w:t>recognise</w:t>
      </w:r>
      <w:r w:rsidR="00054C75" w:rsidRPr="00A97671">
        <w:rPr>
          <w:rFonts w:asciiTheme="majorHAnsi" w:hAnsiTheme="majorHAnsi"/>
          <w:bCs/>
        </w:rPr>
        <w:t xml:space="preserve"> </w:t>
      </w:r>
      <w:r w:rsidRPr="00A97671">
        <w:rPr>
          <w:rFonts w:asciiTheme="majorHAnsi" w:hAnsiTheme="majorHAnsi"/>
          <w:bCs/>
        </w:rPr>
        <w:t xml:space="preserve">the </w:t>
      </w:r>
      <w:r w:rsidR="00B56A4F" w:rsidRPr="00A97671">
        <w:rPr>
          <w:rFonts w:asciiTheme="majorHAnsi" w:hAnsiTheme="majorHAnsi"/>
          <w:bCs/>
        </w:rPr>
        <w:t>General Comments issued by the CRPD</w:t>
      </w:r>
      <w:r w:rsidR="00054C75">
        <w:rPr>
          <w:rFonts w:asciiTheme="majorHAnsi" w:hAnsiTheme="majorHAnsi"/>
          <w:bCs/>
        </w:rPr>
        <w:t xml:space="preserve"> </w:t>
      </w:r>
      <w:r w:rsidR="00B56A4F" w:rsidRPr="00A97671">
        <w:rPr>
          <w:rFonts w:asciiTheme="majorHAnsi" w:hAnsiTheme="majorHAnsi"/>
          <w:bCs/>
        </w:rPr>
        <w:t>Committee as authoritative</w:t>
      </w:r>
    </w:p>
    <w:p w14:paraId="71987641" w14:textId="59386551" w:rsidR="00B56A4F" w:rsidRPr="00A97671" w:rsidRDefault="008A6E85" w:rsidP="003666D4">
      <w:pPr>
        <w:pStyle w:val="Listenabsatz"/>
        <w:numPr>
          <w:ilvl w:val="0"/>
          <w:numId w:val="1"/>
        </w:numPr>
        <w:spacing w:line="276" w:lineRule="auto"/>
        <w:jc w:val="both"/>
        <w:rPr>
          <w:rFonts w:asciiTheme="majorHAnsi" w:hAnsiTheme="majorHAnsi"/>
          <w:b/>
          <w:bCs/>
        </w:rPr>
      </w:pPr>
      <w:r w:rsidRPr="00A97671">
        <w:rPr>
          <w:rFonts w:asciiTheme="majorHAnsi" w:hAnsiTheme="majorHAnsi"/>
          <w:bCs/>
        </w:rPr>
        <w:t xml:space="preserve">To ratify the </w:t>
      </w:r>
      <w:r w:rsidR="00054C75">
        <w:rPr>
          <w:rFonts w:asciiTheme="majorHAnsi" w:hAnsiTheme="majorHAnsi"/>
          <w:bCs/>
        </w:rPr>
        <w:t>O</w:t>
      </w:r>
      <w:r w:rsidRPr="00A97671">
        <w:rPr>
          <w:rFonts w:asciiTheme="majorHAnsi" w:hAnsiTheme="majorHAnsi"/>
          <w:bCs/>
        </w:rPr>
        <w:t xml:space="preserve">ptional </w:t>
      </w:r>
      <w:r w:rsidR="00054C75">
        <w:rPr>
          <w:rFonts w:asciiTheme="majorHAnsi" w:hAnsiTheme="majorHAnsi"/>
          <w:bCs/>
        </w:rPr>
        <w:t>P</w:t>
      </w:r>
      <w:r w:rsidRPr="00A97671">
        <w:rPr>
          <w:rFonts w:asciiTheme="majorHAnsi" w:hAnsiTheme="majorHAnsi"/>
          <w:bCs/>
        </w:rPr>
        <w:t>rotocol</w:t>
      </w:r>
      <w:r w:rsidR="00054C75">
        <w:rPr>
          <w:rFonts w:asciiTheme="majorHAnsi" w:hAnsiTheme="majorHAnsi"/>
          <w:bCs/>
        </w:rPr>
        <w:t xml:space="preserve"> to the UN CRPD</w:t>
      </w:r>
    </w:p>
    <w:p w14:paraId="64304C42" w14:textId="36F27173" w:rsidR="008A6E85" w:rsidRPr="00A97671" w:rsidRDefault="008A6E85" w:rsidP="003666D4">
      <w:pPr>
        <w:pStyle w:val="Listenabsatz"/>
        <w:numPr>
          <w:ilvl w:val="0"/>
          <w:numId w:val="1"/>
        </w:numPr>
        <w:spacing w:line="276" w:lineRule="auto"/>
        <w:jc w:val="both"/>
        <w:rPr>
          <w:rFonts w:asciiTheme="majorHAnsi" w:hAnsiTheme="majorHAnsi"/>
          <w:b/>
          <w:bCs/>
        </w:rPr>
      </w:pPr>
      <w:r w:rsidRPr="00A97671">
        <w:rPr>
          <w:rFonts w:asciiTheme="majorHAnsi" w:hAnsiTheme="majorHAnsi"/>
          <w:bCs/>
        </w:rPr>
        <w:t xml:space="preserve">To establish effective </w:t>
      </w:r>
      <w:r w:rsidR="00054C75">
        <w:rPr>
          <w:rFonts w:asciiTheme="majorHAnsi" w:hAnsiTheme="majorHAnsi"/>
          <w:bCs/>
        </w:rPr>
        <w:t xml:space="preserve">rules, an </w:t>
      </w:r>
      <w:r w:rsidRPr="00A97671">
        <w:rPr>
          <w:rFonts w:asciiTheme="majorHAnsi" w:hAnsiTheme="majorHAnsi"/>
          <w:bCs/>
        </w:rPr>
        <w:t xml:space="preserve">oversight </w:t>
      </w:r>
      <w:r w:rsidR="00054C75">
        <w:rPr>
          <w:rFonts w:asciiTheme="majorHAnsi" w:hAnsiTheme="majorHAnsi"/>
          <w:bCs/>
        </w:rPr>
        <w:t xml:space="preserve">and accountability </w:t>
      </w:r>
      <w:r w:rsidRPr="00A97671">
        <w:rPr>
          <w:rFonts w:asciiTheme="majorHAnsi" w:hAnsiTheme="majorHAnsi"/>
          <w:bCs/>
        </w:rPr>
        <w:t xml:space="preserve">mechanism over the spending of EU Funds to </w:t>
      </w:r>
      <w:r w:rsidR="0070604A" w:rsidRPr="00A97671">
        <w:rPr>
          <w:rFonts w:asciiTheme="majorHAnsi" w:hAnsiTheme="majorHAnsi"/>
          <w:bCs/>
        </w:rPr>
        <w:t xml:space="preserve">stop institutions </w:t>
      </w:r>
      <w:r w:rsidR="002F1B60">
        <w:rPr>
          <w:rFonts w:asciiTheme="majorHAnsi" w:hAnsiTheme="majorHAnsi"/>
          <w:bCs/>
        </w:rPr>
        <w:t xml:space="preserve">from </w:t>
      </w:r>
      <w:r w:rsidR="0070604A" w:rsidRPr="00A97671">
        <w:rPr>
          <w:rFonts w:asciiTheme="majorHAnsi" w:hAnsiTheme="majorHAnsi"/>
          <w:bCs/>
        </w:rPr>
        <w:t>receiv</w:t>
      </w:r>
      <w:r w:rsidR="002F1B60">
        <w:rPr>
          <w:rFonts w:asciiTheme="majorHAnsi" w:hAnsiTheme="majorHAnsi"/>
          <w:bCs/>
        </w:rPr>
        <w:t>ing</w:t>
      </w:r>
      <w:r w:rsidR="0070604A" w:rsidRPr="00A97671">
        <w:rPr>
          <w:rFonts w:asciiTheme="majorHAnsi" w:hAnsiTheme="majorHAnsi"/>
          <w:bCs/>
        </w:rPr>
        <w:t xml:space="preserve"> further resources</w:t>
      </w:r>
    </w:p>
    <w:p w14:paraId="459C53D6" w14:textId="11D47F69" w:rsidR="0070604A" w:rsidRPr="00A97671" w:rsidRDefault="0070604A" w:rsidP="003666D4">
      <w:pPr>
        <w:pStyle w:val="Listenabsatz"/>
        <w:numPr>
          <w:ilvl w:val="0"/>
          <w:numId w:val="1"/>
        </w:numPr>
        <w:spacing w:line="276" w:lineRule="auto"/>
        <w:jc w:val="both"/>
        <w:rPr>
          <w:rFonts w:asciiTheme="majorHAnsi" w:hAnsiTheme="majorHAnsi"/>
          <w:b/>
          <w:bCs/>
        </w:rPr>
      </w:pPr>
      <w:r w:rsidRPr="00A97671">
        <w:rPr>
          <w:rFonts w:asciiTheme="majorHAnsi" w:hAnsiTheme="majorHAnsi"/>
          <w:bCs/>
        </w:rPr>
        <w:t>To halt efforts to ratify the 2000 Hague Convention</w:t>
      </w:r>
    </w:p>
    <w:p w14:paraId="4ECD1819" w14:textId="5AFB0FF6" w:rsidR="0070604A" w:rsidRPr="00A97671" w:rsidRDefault="0070604A" w:rsidP="003666D4">
      <w:pPr>
        <w:pStyle w:val="Listenabsatz"/>
        <w:numPr>
          <w:ilvl w:val="0"/>
          <w:numId w:val="1"/>
        </w:numPr>
        <w:spacing w:line="276" w:lineRule="auto"/>
        <w:jc w:val="both"/>
        <w:rPr>
          <w:rFonts w:asciiTheme="majorHAnsi" w:hAnsiTheme="majorHAnsi"/>
          <w:b/>
          <w:bCs/>
        </w:rPr>
      </w:pPr>
      <w:r w:rsidRPr="00A97671">
        <w:rPr>
          <w:rFonts w:asciiTheme="majorHAnsi" w:hAnsiTheme="majorHAnsi"/>
          <w:bCs/>
        </w:rPr>
        <w:t>To reform the</w:t>
      </w:r>
      <w:r w:rsidR="00177D2E" w:rsidRPr="00A97671">
        <w:rPr>
          <w:rFonts w:asciiTheme="majorHAnsi" w:hAnsiTheme="majorHAnsi"/>
          <w:bCs/>
        </w:rPr>
        <w:t xml:space="preserve"> state aid General Block Exemption Regulation to reduce funding for sheltered employment. </w:t>
      </w:r>
    </w:p>
    <w:p w14:paraId="51C94C98" w14:textId="0DF7155C" w:rsidR="00177D2E" w:rsidRDefault="00717480" w:rsidP="003666D4">
      <w:pPr>
        <w:spacing w:line="276" w:lineRule="auto"/>
        <w:contextualSpacing/>
        <w:jc w:val="both"/>
        <w:rPr>
          <w:rFonts w:asciiTheme="majorHAnsi" w:hAnsiTheme="majorHAnsi"/>
          <w:bCs/>
        </w:rPr>
      </w:pPr>
      <w:r w:rsidRPr="00A97671">
        <w:rPr>
          <w:rFonts w:asciiTheme="majorHAnsi" w:hAnsiTheme="majorHAnsi"/>
          <w:bCs/>
        </w:rPr>
        <w:t xml:space="preserve">The </w:t>
      </w:r>
      <w:r w:rsidR="00054C75">
        <w:rPr>
          <w:rFonts w:asciiTheme="majorHAnsi" w:hAnsiTheme="majorHAnsi"/>
          <w:bCs/>
        </w:rPr>
        <w:t>Council Conclusions</w:t>
      </w:r>
      <w:r w:rsidRPr="00A97671">
        <w:rPr>
          <w:rFonts w:asciiTheme="majorHAnsi" w:hAnsiTheme="majorHAnsi"/>
          <w:bCs/>
        </w:rPr>
        <w:t xml:space="preserve"> fail to mention</w:t>
      </w:r>
      <w:r w:rsidR="00D83423" w:rsidRPr="00A97671">
        <w:rPr>
          <w:rFonts w:asciiTheme="majorHAnsi" w:hAnsiTheme="majorHAnsi"/>
          <w:bCs/>
        </w:rPr>
        <w:t xml:space="preserve"> or respond to</w:t>
      </w:r>
      <w:r w:rsidRPr="00A97671">
        <w:rPr>
          <w:rFonts w:asciiTheme="majorHAnsi" w:hAnsiTheme="majorHAnsi"/>
          <w:bCs/>
        </w:rPr>
        <w:t xml:space="preserve"> any of these demands. </w:t>
      </w:r>
    </w:p>
    <w:p w14:paraId="2FFDDACE" w14:textId="77777777" w:rsidR="009D146E" w:rsidRDefault="009D146E" w:rsidP="003666D4">
      <w:pPr>
        <w:spacing w:line="276" w:lineRule="auto"/>
        <w:contextualSpacing/>
        <w:jc w:val="both"/>
        <w:rPr>
          <w:rFonts w:asciiTheme="majorHAnsi" w:hAnsiTheme="majorHAnsi"/>
          <w:bCs/>
        </w:rPr>
      </w:pPr>
    </w:p>
    <w:p w14:paraId="06A19312" w14:textId="77777777" w:rsidR="00B41596" w:rsidRDefault="00B41596" w:rsidP="003666D4">
      <w:pPr>
        <w:spacing w:line="276" w:lineRule="auto"/>
        <w:contextualSpacing/>
        <w:jc w:val="both"/>
        <w:rPr>
          <w:rFonts w:asciiTheme="majorHAnsi" w:hAnsiTheme="majorHAnsi"/>
          <w:bCs/>
        </w:rPr>
      </w:pPr>
    </w:p>
    <w:p w14:paraId="650FF9E8" w14:textId="77777777" w:rsidR="00B41596" w:rsidRDefault="00B41596" w:rsidP="003666D4">
      <w:pPr>
        <w:spacing w:line="276" w:lineRule="auto"/>
        <w:contextualSpacing/>
        <w:jc w:val="both"/>
        <w:rPr>
          <w:rFonts w:asciiTheme="majorHAnsi" w:hAnsiTheme="majorHAnsi"/>
          <w:bCs/>
        </w:rPr>
      </w:pPr>
    </w:p>
    <w:p w14:paraId="228C8456" w14:textId="1500CEF3" w:rsidR="009D146E" w:rsidRDefault="009D146E" w:rsidP="003666D4">
      <w:pPr>
        <w:spacing w:line="276" w:lineRule="auto"/>
        <w:contextualSpacing/>
        <w:jc w:val="both"/>
        <w:rPr>
          <w:rFonts w:asciiTheme="majorHAnsi" w:hAnsiTheme="majorHAnsi"/>
          <w:b/>
        </w:rPr>
      </w:pPr>
      <w:r w:rsidRPr="003666D4">
        <w:rPr>
          <w:rFonts w:asciiTheme="majorHAnsi" w:hAnsiTheme="majorHAnsi"/>
          <w:b/>
        </w:rPr>
        <w:lastRenderedPageBreak/>
        <w:t xml:space="preserve">Welcoming and ignoring the input of </w:t>
      </w:r>
      <w:r w:rsidR="003666D4" w:rsidRPr="003666D4">
        <w:rPr>
          <w:rFonts w:asciiTheme="majorHAnsi" w:hAnsiTheme="majorHAnsi"/>
          <w:b/>
        </w:rPr>
        <w:t>disabled people</w:t>
      </w:r>
      <w:r w:rsidR="00054C75">
        <w:rPr>
          <w:rFonts w:asciiTheme="majorHAnsi" w:hAnsiTheme="majorHAnsi"/>
          <w:b/>
        </w:rPr>
        <w:t>’</w:t>
      </w:r>
      <w:r w:rsidR="003666D4" w:rsidRPr="003666D4">
        <w:rPr>
          <w:rFonts w:asciiTheme="majorHAnsi" w:hAnsiTheme="majorHAnsi"/>
          <w:b/>
        </w:rPr>
        <w:t>s organisations</w:t>
      </w:r>
    </w:p>
    <w:p w14:paraId="45EB517D" w14:textId="77777777" w:rsidR="003666D4" w:rsidRPr="003666D4" w:rsidRDefault="003666D4" w:rsidP="003666D4">
      <w:pPr>
        <w:spacing w:line="276" w:lineRule="auto"/>
        <w:contextualSpacing/>
        <w:jc w:val="both"/>
        <w:rPr>
          <w:rFonts w:asciiTheme="majorHAnsi" w:hAnsiTheme="majorHAnsi"/>
          <w:b/>
        </w:rPr>
      </w:pPr>
    </w:p>
    <w:p w14:paraId="564B8C90" w14:textId="6F52D578" w:rsidR="003666D4" w:rsidRPr="00A97671" w:rsidRDefault="00995FC7" w:rsidP="003666D4">
      <w:pPr>
        <w:spacing w:line="276" w:lineRule="auto"/>
        <w:contextualSpacing/>
        <w:jc w:val="both"/>
        <w:rPr>
          <w:rFonts w:asciiTheme="majorHAnsi" w:hAnsiTheme="majorHAnsi"/>
          <w:bCs/>
        </w:rPr>
      </w:pPr>
      <w:r w:rsidRPr="00A97671">
        <w:rPr>
          <w:rFonts w:asciiTheme="majorHAnsi" w:hAnsiTheme="majorHAnsi"/>
          <w:bCs/>
        </w:rPr>
        <w:t>In paragraph 22</w:t>
      </w:r>
      <w:r w:rsidR="00054C75">
        <w:rPr>
          <w:rFonts w:asciiTheme="majorHAnsi" w:hAnsiTheme="majorHAnsi"/>
          <w:bCs/>
        </w:rPr>
        <w:t>,</w:t>
      </w:r>
      <w:r w:rsidRPr="00A97671">
        <w:rPr>
          <w:rFonts w:asciiTheme="majorHAnsi" w:hAnsiTheme="majorHAnsi"/>
          <w:bCs/>
        </w:rPr>
        <w:t xml:space="preserve"> the EU Council calls on the European Commission: </w:t>
      </w:r>
      <w:r w:rsidR="0020747F" w:rsidRPr="00A97671">
        <w:rPr>
          <w:rFonts w:asciiTheme="majorHAnsi" w:hAnsiTheme="majorHAnsi"/>
          <w:bCs/>
        </w:rPr>
        <w:t>“When preparing initiatives and actions, consult and actively involve relevant stakeholders</w:t>
      </w:r>
      <w:r w:rsidR="003035C8" w:rsidRPr="00A97671">
        <w:rPr>
          <w:rFonts w:asciiTheme="majorHAnsi" w:hAnsiTheme="majorHAnsi"/>
          <w:bCs/>
        </w:rPr>
        <w:t>, especially persons with disabilities through their representative organisations</w:t>
      </w:r>
      <w:r w:rsidR="0020747F" w:rsidRPr="00A97671">
        <w:rPr>
          <w:rFonts w:asciiTheme="majorHAnsi" w:hAnsiTheme="majorHAnsi"/>
          <w:bCs/>
        </w:rPr>
        <w:t>”</w:t>
      </w:r>
      <w:r w:rsidR="003035C8" w:rsidRPr="00A97671">
        <w:rPr>
          <w:rFonts w:asciiTheme="majorHAnsi" w:hAnsiTheme="majorHAnsi"/>
          <w:bCs/>
        </w:rPr>
        <w:t>.</w:t>
      </w:r>
    </w:p>
    <w:p w14:paraId="0AA13E12" w14:textId="4710DC12" w:rsidR="004272ED" w:rsidRDefault="00D83423" w:rsidP="003666D4">
      <w:pPr>
        <w:spacing w:line="276" w:lineRule="auto"/>
        <w:contextualSpacing/>
        <w:jc w:val="both"/>
        <w:rPr>
          <w:rFonts w:asciiTheme="majorHAnsi" w:hAnsiTheme="majorHAnsi"/>
          <w:bCs/>
        </w:rPr>
      </w:pPr>
      <w:r w:rsidRPr="00A97671">
        <w:rPr>
          <w:rFonts w:asciiTheme="majorHAnsi" w:hAnsiTheme="majorHAnsi"/>
          <w:bCs/>
        </w:rPr>
        <w:t>ENIL provided extensive input to the Danish Council Presidenc</w:t>
      </w:r>
      <w:r w:rsidR="00DE6C90" w:rsidRPr="00A97671">
        <w:rPr>
          <w:rFonts w:asciiTheme="majorHAnsi" w:hAnsiTheme="majorHAnsi"/>
          <w:bCs/>
        </w:rPr>
        <w:t xml:space="preserve">y </w:t>
      </w:r>
      <w:r w:rsidR="00E67510" w:rsidRPr="00A97671">
        <w:rPr>
          <w:rFonts w:asciiTheme="majorHAnsi" w:hAnsiTheme="majorHAnsi"/>
          <w:bCs/>
        </w:rPr>
        <w:t xml:space="preserve">which </w:t>
      </w:r>
      <w:r w:rsidR="00B32987" w:rsidRPr="00A97671">
        <w:rPr>
          <w:rFonts w:asciiTheme="majorHAnsi" w:hAnsiTheme="majorHAnsi"/>
          <w:bCs/>
        </w:rPr>
        <w:t xml:space="preserve">drafted the </w:t>
      </w:r>
      <w:r w:rsidR="003D5BF0">
        <w:rPr>
          <w:rFonts w:asciiTheme="majorHAnsi" w:hAnsiTheme="majorHAnsi"/>
          <w:bCs/>
        </w:rPr>
        <w:t>Council Conclusions</w:t>
      </w:r>
      <w:r w:rsidR="007944C4" w:rsidRPr="00A97671">
        <w:rPr>
          <w:rFonts w:asciiTheme="majorHAnsi" w:hAnsiTheme="majorHAnsi"/>
          <w:bCs/>
        </w:rPr>
        <w:t xml:space="preserve">, by sending our </w:t>
      </w:r>
      <w:hyperlink r:id="rId10" w:history="1">
        <w:r w:rsidR="007944C4" w:rsidRPr="00EE58AD">
          <w:rPr>
            <w:rStyle w:val="Hyperlink"/>
            <w:rFonts w:asciiTheme="majorHAnsi" w:hAnsiTheme="majorHAnsi"/>
            <w:bCs/>
          </w:rPr>
          <w:t>input to the EU Disability Strategy</w:t>
        </w:r>
      </w:hyperlink>
      <w:r w:rsidR="007944C4" w:rsidRPr="00A97671">
        <w:rPr>
          <w:rFonts w:asciiTheme="majorHAnsi" w:hAnsiTheme="majorHAnsi"/>
          <w:bCs/>
        </w:rPr>
        <w:t xml:space="preserve">, </w:t>
      </w:r>
      <w:r w:rsidR="00EE58AD">
        <w:rPr>
          <w:rFonts w:asciiTheme="majorHAnsi" w:hAnsiTheme="majorHAnsi"/>
          <w:bCs/>
        </w:rPr>
        <w:t xml:space="preserve">by sending </w:t>
      </w:r>
      <w:r w:rsidR="00D15A53">
        <w:rPr>
          <w:rFonts w:asciiTheme="majorHAnsi" w:hAnsiTheme="majorHAnsi"/>
          <w:bCs/>
        </w:rPr>
        <w:t xml:space="preserve">more </w:t>
      </w:r>
      <w:hyperlink r:id="rId11" w:history="1">
        <w:r w:rsidR="00D15A53" w:rsidRPr="00D15A53">
          <w:rPr>
            <w:rStyle w:val="Hyperlink"/>
            <w:rFonts w:asciiTheme="majorHAnsi" w:hAnsiTheme="majorHAnsi"/>
            <w:bCs/>
          </w:rPr>
          <w:t>specific recommendations</w:t>
        </w:r>
      </w:hyperlink>
      <w:r w:rsidR="00D15A53">
        <w:rPr>
          <w:rFonts w:asciiTheme="majorHAnsi" w:hAnsiTheme="majorHAnsi"/>
          <w:bCs/>
        </w:rPr>
        <w:t xml:space="preserve">, </w:t>
      </w:r>
      <w:r w:rsidR="007944C4" w:rsidRPr="00A97671">
        <w:rPr>
          <w:rFonts w:asciiTheme="majorHAnsi" w:hAnsiTheme="majorHAnsi"/>
          <w:bCs/>
        </w:rPr>
        <w:t xml:space="preserve">by </w:t>
      </w:r>
      <w:hyperlink r:id="rId12" w:history="1">
        <w:r w:rsidR="004272ED" w:rsidRPr="00317A6D">
          <w:rPr>
            <w:rStyle w:val="Hyperlink"/>
            <w:rFonts w:asciiTheme="majorHAnsi" w:hAnsiTheme="majorHAnsi"/>
            <w:bCs/>
          </w:rPr>
          <w:t>submitting amendments</w:t>
        </w:r>
      </w:hyperlink>
      <w:r w:rsidR="004272ED" w:rsidRPr="00A97671">
        <w:rPr>
          <w:rFonts w:asciiTheme="majorHAnsi" w:hAnsiTheme="majorHAnsi"/>
          <w:bCs/>
        </w:rPr>
        <w:t xml:space="preserve"> and by explaining our positions </w:t>
      </w:r>
      <w:hyperlink r:id="rId13" w:history="1">
        <w:r w:rsidR="004272ED" w:rsidRPr="003550EB">
          <w:rPr>
            <w:rStyle w:val="Hyperlink"/>
            <w:rFonts w:asciiTheme="majorHAnsi" w:hAnsiTheme="majorHAnsi"/>
            <w:bCs/>
          </w:rPr>
          <w:t>in the course of a meeting</w:t>
        </w:r>
      </w:hyperlink>
      <w:r w:rsidR="004272ED" w:rsidRPr="00A97671">
        <w:rPr>
          <w:rFonts w:asciiTheme="majorHAnsi" w:hAnsiTheme="majorHAnsi"/>
          <w:bCs/>
        </w:rPr>
        <w:t>.</w:t>
      </w:r>
      <w:r w:rsidR="00B32987" w:rsidRPr="00A97671">
        <w:rPr>
          <w:rFonts w:asciiTheme="majorHAnsi" w:hAnsiTheme="majorHAnsi"/>
          <w:bCs/>
        </w:rPr>
        <w:t xml:space="preserve"> </w:t>
      </w:r>
    </w:p>
    <w:p w14:paraId="11CBA6DB" w14:textId="77777777" w:rsidR="003666D4" w:rsidRPr="00A97671" w:rsidRDefault="003666D4" w:rsidP="003666D4">
      <w:pPr>
        <w:spacing w:line="276" w:lineRule="auto"/>
        <w:contextualSpacing/>
        <w:jc w:val="both"/>
        <w:rPr>
          <w:rFonts w:asciiTheme="majorHAnsi" w:hAnsiTheme="majorHAnsi"/>
          <w:bCs/>
        </w:rPr>
      </w:pPr>
    </w:p>
    <w:p w14:paraId="549F1358" w14:textId="5200FAC5" w:rsidR="0020747F" w:rsidRPr="00A97671" w:rsidRDefault="001E4D20" w:rsidP="003666D4">
      <w:pPr>
        <w:spacing w:line="276" w:lineRule="auto"/>
        <w:contextualSpacing/>
        <w:jc w:val="both"/>
        <w:rPr>
          <w:rFonts w:asciiTheme="majorHAnsi" w:hAnsiTheme="majorHAnsi"/>
          <w:bCs/>
        </w:rPr>
      </w:pPr>
      <w:r w:rsidRPr="00A97671">
        <w:rPr>
          <w:rFonts w:asciiTheme="majorHAnsi" w:hAnsiTheme="majorHAnsi"/>
          <w:bCs/>
        </w:rPr>
        <w:t xml:space="preserve">For example, we urged the EU Council to: </w:t>
      </w:r>
    </w:p>
    <w:p w14:paraId="316482D2" w14:textId="5BCE491E" w:rsidR="001E4D20" w:rsidRPr="00A97671" w:rsidRDefault="001E4D20" w:rsidP="003666D4">
      <w:pPr>
        <w:pStyle w:val="paragraph"/>
        <w:numPr>
          <w:ilvl w:val="0"/>
          <w:numId w:val="1"/>
        </w:numPr>
        <w:spacing w:before="0" w:beforeAutospacing="0" w:after="0" w:afterAutospacing="0" w:line="276" w:lineRule="auto"/>
        <w:contextualSpacing/>
        <w:jc w:val="both"/>
        <w:textAlignment w:val="baseline"/>
        <w:rPr>
          <w:rFonts w:asciiTheme="majorHAnsi" w:hAnsiTheme="majorHAnsi"/>
        </w:rPr>
      </w:pPr>
      <w:r w:rsidRPr="00A97671">
        <w:rPr>
          <w:rStyle w:val="normaltextrun"/>
          <w:rFonts w:asciiTheme="majorHAnsi" w:hAnsiTheme="majorHAnsi" w:cs="Arial"/>
        </w:rPr>
        <w:t>Support the adoption of legally binding guidance at the EU</w:t>
      </w:r>
      <w:r w:rsidR="003D5BF0">
        <w:rPr>
          <w:rStyle w:val="normaltextrun"/>
          <w:rFonts w:asciiTheme="majorHAnsi" w:hAnsiTheme="majorHAnsi" w:cs="Arial"/>
        </w:rPr>
        <w:t xml:space="preserve"> </w:t>
      </w:r>
      <w:r w:rsidRPr="00A97671">
        <w:rPr>
          <w:rStyle w:val="normaltextrun"/>
          <w:rFonts w:asciiTheme="majorHAnsi" w:hAnsiTheme="majorHAnsi" w:cs="Arial"/>
        </w:rPr>
        <w:t>level, recognising the General Comments, Guidelines and Concluding Observations issue</w:t>
      </w:r>
      <w:r w:rsidR="003D5BF0">
        <w:rPr>
          <w:rStyle w:val="normaltextrun"/>
          <w:rFonts w:asciiTheme="majorHAnsi" w:hAnsiTheme="majorHAnsi" w:cs="Arial"/>
        </w:rPr>
        <w:t>d</w:t>
      </w:r>
      <w:r w:rsidRPr="00A97671">
        <w:rPr>
          <w:rStyle w:val="normaltextrun"/>
          <w:rFonts w:asciiTheme="majorHAnsi" w:hAnsiTheme="majorHAnsi" w:cs="Arial"/>
        </w:rPr>
        <w:t xml:space="preserve"> by the CRPD</w:t>
      </w:r>
      <w:r w:rsidR="003D5BF0">
        <w:rPr>
          <w:rStyle w:val="normaltextrun"/>
          <w:rFonts w:asciiTheme="majorHAnsi" w:hAnsiTheme="majorHAnsi" w:cs="Arial"/>
        </w:rPr>
        <w:t xml:space="preserve"> </w:t>
      </w:r>
      <w:r w:rsidRPr="00A97671">
        <w:rPr>
          <w:rStyle w:val="normaltextrun"/>
          <w:rFonts w:asciiTheme="majorHAnsi" w:hAnsiTheme="majorHAnsi" w:cs="Arial"/>
        </w:rPr>
        <w:t>Committee as authoritative</w:t>
      </w:r>
      <w:r w:rsidRPr="00A97671">
        <w:rPr>
          <w:rStyle w:val="eop"/>
          <w:rFonts w:asciiTheme="majorHAnsi" w:hAnsiTheme="majorHAnsi" w:cs="Arial"/>
        </w:rPr>
        <w:t> </w:t>
      </w:r>
    </w:p>
    <w:p w14:paraId="2E056858" w14:textId="2B180FD7" w:rsidR="001E4D20" w:rsidRPr="00A97671" w:rsidRDefault="007D6134" w:rsidP="003666D4">
      <w:pPr>
        <w:pStyle w:val="Listenabsatz"/>
        <w:numPr>
          <w:ilvl w:val="0"/>
          <w:numId w:val="1"/>
        </w:numPr>
        <w:spacing w:line="276" w:lineRule="auto"/>
        <w:jc w:val="both"/>
        <w:rPr>
          <w:rFonts w:asciiTheme="majorHAnsi" w:hAnsiTheme="majorHAnsi"/>
          <w:bCs/>
        </w:rPr>
      </w:pPr>
      <w:r w:rsidRPr="00A97671">
        <w:rPr>
          <w:rFonts w:asciiTheme="majorHAnsi" w:hAnsiTheme="majorHAnsi"/>
          <w:bCs/>
        </w:rPr>
        <w:t xml:space="preserve">Tackle the disability employment gap which has </w:t>
      </w:r>
      <w:r w:rsidR="00D2538F" w:rsidRPr="00A97671">
        <w:rPr>
          <w:rFonts w:asciiTheme="majorHAnsi" w:hAnsiTheme="majorHAnsi"/>
          <w:bCs/>
        </w:rPr>
        <w:t>grown significantly since 2010, by supporting the redirection of funding from sheltered into supported employment, through a reform of the General Block Exemption Regulation</w:t>
      </w:r>
    </w:p>
    <w:p w14:paraId="707B1E38" w14:textId="6F99CA9D" w:rsidR="00D2538F" w:rsidRPr="00A97671" w:rsidRDefault="00FC240C" w:rsidP="003666D4">
      <w:pPr>
        <w:pStyle w:val="Listenabsatz"/>
        <w:numPr>
          <w:ilvl w:val="0"/>
          <w:numId w:val="1"/>
        </w:numPr>
        <w:spacing w:line="276" w:lineRule="auto"/>
        <w:jc w:val="both"/>
        <w:rPr>
          <w:rFonts w:asciiTheme="majorHAnsi" w:hAnsiTheme="majorHAnsi"/>
          <w:bCs/>
        </w:rPr>
      </w:pPr>
      <w:r w:rsidRPr="00A97671">
        <w:rPr>
          <w:rFonts w:asciiTheme="majorHAnsi" w:hAnsiTheme="majorHAnsi"/>
          <w:bCs/>
        </w:rPr>
        <w:t xml:space="preserve">Call on Member States to introduce </w:t>
      </w:r>
      <w:r w:rsidR="005D0C44" w:rsidRPr="00A97671">
        <w:rPr>
          <w:rFonts w:asciiTheme="majorHAnsi" w:hAnsiTheme="majorHAnsi"/>
          <w:bCs/>
        </w:rPr>
        <w:t>effective personal budget schemes, firmly linked to personal assistance</w:t>
      </w:r>
    </w:p>
    <w:p w14:paraId="3F7B069F" w14:textId="3FB8C6EC" w:rsidR="005D0C44" w:rsidRPr="00A97671" w:rsidRDefault="00C85E6A" w:rsidP="003666D4">
      <w:pPr>
        <w:pStyle w:val="Listenabsatz"/>
        <w:numPr>
          <w:ilvl w:val="0"/>
          <w:numId w:val="1"/>
        </w:numPr>
        <w:spacing w:line="276" w:lineRule="auto"/>
        <w:jc w:val="both"/>
        <w:rPr>
          <w:rFonts w:asciiTheme="majorHAnsi" w:hAnsiTheme="majorHAnsi"/>
          <w:bCs/>
        </w:rPr>
      </w:pPr>
      <w:r w:rsidRPr="00A97671">
        <w:rPr>
          <w:rFonts w:asciiTheme="majorHAnsi" w:hAnsiTheme="majorHAnsi"/>
          <w:bCs/>
        </w:rPr>
        <w:t xml:space="preserve">Call on the Commission to halt efforts to ratify the 2000 Hague Convention </w:t>
      </w:r>
    </w:p>
    <w:p w14:paraId="30BEA486" w14:textId="77777777" w:rsidR="004524CE" w:rsidRPr="00A97671" w:rsidRDefault="004524CE" w:rsidP="003666D4">
      <w:pPr>
        <w:spacing w:line="276" w:lineRule="auto"/>
        <w:contextualSpacing/>
        <w:jc w:val="both"/>
        <w:rPr>
          <w:rFonts w:asciiTheme="majorHAnsi" w:hAnsiTheme="majorHAnsi"/>
          <w:bCs/>
        </w:rPr>
      </w:pPr>
    </w:p>
    <w:p w14:paraId="624B2B32" w14:textId="6915817C" w:rsidR="0020747F" w:rsidRDefault="004272ED" w:rsidP="003666D4">
      <w:pPr>
        <w:spacing w:line="276" w:lineRule="auto"/>
        <w:contextualSpacing/>
        <w:jc w:val="both"/>
        <w:rPr>
          <w:rFonts w:asciiTheme="majorHAnsi" w:hAnsiTheme="majorHAnsi"/>
          <w:bCs/>
        </w:rPr>
      </w:pPr>
      <w:r w:rsidRPr="00A97671">
        <w:rPr>
          <w:rFonts w:asciiTheme="majorHAnsi" w:hAnsiTheme="majorHAnsi"/>
          <w:bCs/>
        </w:rPr>
        <w:t xml:space="preserve">The </w:t>
      </w:r>
      <w:r w:rsidR="00B5335D">
        <w:rPr>
          <w:rFonts w:asciiTheme="majorHAnsi" w:hAnsiTheme="majorHAnsi"/>
          <w:bCs/>
        </w:rPr>
        <w:t xml:space="preserve">Council </w:t>
      </w:r>
      <w:r w:rsidR="007B68A6">
        <w:rPr>
          <w:rFonts w:asciiTheme="majorHAnsi" w:hAnsiTheme="majorHAnsi"/>
          <w:bCs/>
        </w:rPr>
        <w:t>Conclusions</w:t>
      </w:r>
      <w:r w:rsidRPr="00A97671">
        <w:rPr>
          <w:rFonts w:asciiTheme="majorHAnsi" w:hAnsiTheme="majorHAnsi"/>
          <w:bCs/>
        </w:rPr>
        <w:t xml:space="preserve"> </w:t>
      </w:r>
      <w:r w:rsidR="00A97671" w:rsidRPr="00A97671">
        <w:rPr>
          <w:rFonts w:asciiTheme="majorHAnsi" w:hAnsiTheme="majorHAnsi"/>
          <w:bCs/>
        </w:rPr>
        <w:t xml:space="preserve">fail to </w:t>
      </w:r>
      <w:r w:rsidR="002C3138">
        <w:rPr>
          <w:rFonts w:asciiTheme="majorHAnsi" w:hAnsiTheme="majorHAnsi"/>
          <w:bCs/>
        </w:rPr>
        <w:t xml:space="preserve">take any of those recommendations on board or even mention </w:t>
      </w:r>
      <w:r w:rsidR="00DB73C0">
        <w:rPr>
          <w:rFonts w:asciiTheme="majorHAnsi" w:hAnsiTheme="majorHAnsi"/>
          <w:bCs/>
        </w:rPr>
        <w:t xml:space="preserve">the related </w:t>
      </w:r>
      <w:r w:rsidR="009E402B">
        <w:rPr>
          <w:rFonts w:asciiTheme="majorHAnsi" w:hAnsiTheme="majorHAnsi"/>
          <w:bCs/>
        </w:rPr>
        <w:t xml:space="preserve">issues. </w:t>
      </w:r>
    </w:p>
    <w:p w14:paraId="31C9443F" w14:textId="77777777" w:rsidR="00B5335D" w:rsidRDefault="00B5335D" w:rsidP="003666D4">
      <w:pPr>
        <w:spacing w:line="276" w:lineRule="auto"/>
        <w:contextualSpacing/>
        <w:jc w:val="both"/>
        <w:rPr>
          <w:rFonts w:asciiTheme="majorHAnsi" w:hAnsiTheme="majorHAnsi"/>
          <w:bCs/>
        </w:rPr>
      </w:pPr>
    </w:p>
    <w:p w14:paraId="26252C51" w14:textId="2753F843" w:rsidR="009E402B" w:rsidRDefault="00991773" w:rsidP="003666D4">
      <w:pPr>
        <w:spacing w:line="276" w:lineRule="auto"/>
        <w:contextualSpacing/>
        <w:jc w:val="both"/>
        <w:rPr>
          <w:rFonts w:asciiTheme="majorHAnsi" w:hAnsiTheme="majorHAnsi"/>
          <w:bCs/>
        </w:rPr>
      </w:pPr>
      <w:r>
        <w:rPr>
          <w:rFonts w:asciiTheme="majorHAnsi" w:hAnsiTheme="majorHAnsi"/>
          <w:bCs/>
        </w:rPr>
        <w:t xml:space="preserve">One </w:t>
      </w:r>
      <w:r w:rsidR="00C2207D">
        <w:rPr>
          <w:rFonts w:asciiTheme="majorHAnsi" w:hAnsiTheme="majorHAnsi"/>
          <w:bCs/>
        </w:rPr>
        <w:t xml:space="preserve">item </w:t>
      </w:r>
      <w:r w:rsidR="000D3BF5">
        <w:rPr>
          <w:rFonts w:asciiTheme="majorHAnsi" w:hAnsiTheme="majorHAnsi"/>
          <w:bCs/>
        </w:rPr>
        <w:t xml:space="preserve">that could be of use </w:t>
      </w:r>
      <w:r w:rsidR="00C2207D">
        <w:rPr>
          <w:rFonts w:asciiTheme="majorHAnsi" w:hAnsiTheme="majorHAnsi"/>
          <w:bCs/>
        </w:rPr>
        <w:t xml:space="preserve">is the proposal to </w:t>
      </w:r>
      <w:r w:rsidR="00735AC7">
        <w:rPr>
          <w:rFonts w:asciiTheme="majorHAnsi" w:hAnsiTheme="majorHAnsi"/>
          <w:bCs/>
        </w:rPr>
        <w:t xml:space="preserve">“improve the availability of sex-disaggregated data on and </w:t>
      </w:r>
      <w:r w:rsidR="006D38D6">
        <w:rPr>
          <w:rFonts w:asciiTheme="majorHAnsi" w:hAnsiTheme="majorHAnsi"/>
          <w:bCs/>
        </w:rPr>
        <w:t xml:space="preserve">conduct an analysis, involving the European Union Agency for Fundamental Rights (FRA), the European Institute for Gender Equality (EIGE) and Eurofound”. </w:t>
      </w:r>
      <w:r w:rsidR="00F01A33">
        <w:rPr>
          <w:rFonts w:asciiTheme="majorHAnsi" w:hAnsiTheme="majorHAnsi"/>
          <w:bCs/>
        </w:rPr>
        <w:t>At the same time, it is not clear why the task of data collection is delegated to EU agencies, when it is Eurostat that is in charge of statistic</w:t>
      </w:r>
      <w:r w:rsidR="003D5BF0">
        <w:rPr>
          <w:rFonts w:asciiTheme="majorHAnsi" w:hAnsiTheme="majorHAnsi"/>
          <w:bCs/>
        </w:rPr>
        <w:t>s</w:t>
      </w:r>
      <w:r w:rsidR="00F01A33">
        <w:rPr>
          <w:rFonts w:asciiTheme="majorHAnsi" w:hAnsiTheme="majorHAnsi"/>
          <w:bCs/>
        </w:rPr>
        <w:t xml:space="preserve">. </w:t>
      </w:r>
    </w:p>
    <w:p w14:paraId="41F8CA88" w14:textId="77777777" w:rsidR="007B68A6" w:rsidRDefault="007B68A6" w:rsidP="003666D4">
      <w:pPr>
        <w:spacing w:line="276" w:lineRule="auto"/>
        <w:contextualSpacing/>
        <w:jc w:val="both"/>
        <w:rPr>
          <w:rFonts w:asciiTheme="majorHAnsi" w:hAnsiTheme="majorHAnsi"/>
          <w:bCs/>
        </w:rPr>
      </w:pPr>
    </w:p>
    <w:p w14:paraId="55FC066D" w14:textId="77777777" w:rsidR="00B5335D" w:rsidRDefault="00B5335D" w:rsidP="003666D4">
      <w:pPr>
        <w:spacing w:line="276" w:lineRule="auto"/>
        <w:contextualSpacing/>
        <w:jc w:val="both"/>
        <w:rPr>
          <w:rFonts w:asciiTheme="majorHAnsi" w:hAnsiTheme="majorHAnsi"/>
          <w:bCs/>
        </w:rPr>
      </w:pPr>
    </w:p>
    <w:p w14:paraId="7B16FC90" w14:textId="77777777" w:rsidR="00B41596" w:rsidRDefault="00B41596" w:rsidP="003666D4">
      <w:pPr>
        <w:spacing w:line="276" w:lineRule="auto"/>
        <w:contextualSpacing/>
        <w:jc w:val="both"/>
        <w:rPr>
          <w:rFonts w:asciiTheme="majorHAnsi" w:hAnsiTheme="majorHAnsi"/>
          <w:bCs/>
        </w:rPr>
      </w:pPr>
    </w:p>
    <w:p w14:paraId="61A9932D" w14:textId="13D7E755" w:rsidR="00F01A33" w:rsidRDefault="008E6A47" w:rsidP="003666D4">
      <w:pPr>
        <w:spacing w:line="276" w:lineRule="auto"/>
        <w:contextualSpacing/>
        <w:jc w:val="both"/>
        <w:rPr>
          <w:rFonts w:asciiTheme="majorHAnsi" w:hAnsiTheme="majorHAnsi"/>
          <w:b/>
        </w:rPr>
      </w:pPr>
      <w:r w:rsidRPr="008E6A47">
        <w:rPr>
          <w:rFonts w:asciiTheme="majorHAnsi" w:hAnsiTheme="majorHAnsi"/>
          <w:b/>
        </w:rPr>
        <w:lastRenderedPageBreak/>
        <w:t xml:space="preserve">To </w:t>
      </w:r>
      <w:r w:rsidR="003D5BF0">
        <w:rPr>
          <w:rFonts w:asciiTheme="majorHAnsi" w:hAnsiTheme="majorHAnsi"/>
          <w:b/>
        </w:rPr>
        <w:t>c</w:t>
      </w:r>
      <w:r w:rsidRPr="008E6A47">
        <w:rPr>
          <w:rFonts w:asciiTheme="majorHAnsi" w:hAnsiTheme="majorHAnsi"/>
          <w:b/>
        </w:rPr>
        <w:t>onclude</w:t>
      </w:r>
    </w:p>
    <w:p w14:paraId="566AEA15" w14:textId="77777777" w:rsidR="00B5335D" w:rsidRDefault="00B5335D" w:rsidP="003666D4">
      <w:pPr>
        <w:spacing w:line="276" w:lineRule="auto"/>
        <w:contextualSpacing/>
        <w:jc w:val="both"/>
        <w:rPr>
          <w:rFonts w:asciiTheme="majorHAnsi" w:hAnsiTheme="majorHAnsi"/>
          <w:b/>
        </w:rPr>
      </w:pPr>
    </w:p>
    <w:p w14:paraId="031AAE90" w14:textId="3A1C3F7E" w:rsidR="00DA4CF8" w:rsidRDefault="003D5BF0" w:rsidP="00DA4CF8">
      <w:pPr>
        <w:spacing w:line="276" w:lineRule="auto"/>
        <w:contextualSpacing/>
        <w:jc w:val="both"/>
        <w:rPr>
          <w:rFonts w:asciiTheme="majorHAnsi" w:hAnsiTheme="majorHAnsi"/>
          <w:bCs/>
        </w:rPr>
      </w:pPr>
      <w:r>
        <w:rPr>
          <w:rFonts w:asciiTheme="majorHAnsi" w:hAnsiTheme="majorHAnsi"/>
          <w:bCs/>
        </w:rPr>
        <w:t xml:space="preserve">To our disappointment, the Council Conclusions do </w:t>
      </w:r>
      <w:r w:rsidR="00DA4CF8">
        <w:rPr>
          <w:rFonts w:asciiTheme="majorHAnsi" w:hAnsiTheme="majorHAnsi"/>
          <w:bCs/>
        </w:rPr>
        <w:t xml:space="preserve">not introduce any </w:t>
      </w:r>
      <w:r>
        <w:rPr>
          <w:rFonts w:asciiTheme="majorHAnsi" w:hAnsiTheme="majorHAnsi"/>
          <w:bCs/>
        </w:rPr>
        <w:t xml:space="preserve">proposals </w:t>
      </w:r>
      <w:r w:rsidR="00DA4CF8">
        <w:rPr>
          <w:rFonts w:asciiTheme="majorHAnsi" w:hAnsiTheme="majorHAnsi"/>
          <w:bCs/>
        </w:rPr>
        <w:t>that ha</w:t>
      </w:r>
      <w:r>
        <w:rPr>
          <w:rFonts w:asciiTheme="majorHAnsi" w:hAnsiTheme="majorHAnsi"/>
          <w:bCs/>
        </w:rPr>
        <w:t>ve</w:t>
      </w:r>
      <w:r w:rsidR="00DA4CF8">
        <w:rPr>
          <w:rFonts w:asciiTheme="majorHAnsi" w:hAnsiTheme="majorHAnsi"/>
          <w:bCs/>
        </w:rPr>
        <w:t xml:space="preserve"> not been mentioned elsewhere already. No new facts are being presented, no new and concrete initiatives are being proposed. </w:t>
      </w:r>
      <w:r w:rsidR="00E06D4E">
        <w:rPr>
          <w:rFonts w:asciiTheme="majorHAnsi" w:hAnsiTheme="majorHAnsi"/>
          <w:bCs/>
        </w:rPr>
        <w:t>We would have hoped for a more decisive language</w:t>
      </w:r>
      <w:r w:rsidR="00A432FC">
        <w:rPr>
          <w:rFonts w:asciiTheme="majorHAnsi" w:hAnsiTheme="majorHAnsi"/>
          <w:bCs/>
        </w:rPr>
        <w:t xml:space="preserve">. </w:t>
      </w:r>
      <w:r>
        <w:rPr>
          <w:rFonts w:asciiTheme="majorHAnsi" w:hAnsiTheme="majorHAnsi"/>
          <w:bCs/>
        </w:rPr>
        <w:t>The EU Council has missed the opportunity to align</w:t>
      </w:r>
      <w:r w:rsidR="00B05B9D">
        <w:rPr>
          <w:rFonts w:asciiTheme="majorHAnsi" w:hAnsiTheme="majorHAnsi"/>
          <w:bCs/>
        </w:rPr>
        <w:t xml:space="preserve"> the </w:t>
      </w:r>
      <w:r>
        <w:rPr>
          <w:rFonts w:asciiTheme="majorHAnsi" w:hAnsiTheme="majorHAnsi"/>
          <w:bCs/>
        </w:rPr>
        <w:t>Council Conclusions with the specific recommendations of</w:t>
      </w:r>
      <w:r w:rsidR="00B05B9D">
        <w:rPr>
          <w:rFonts w:asciiTheme="majorHAnsi" w:hAnsiTheme="majorHAnsi"/>
          <w:bCs/>
        </w:rPr>
        <w:t xml:space="preserve"> CRPD</w:t>
      </w:r>
      <w:r>
        <w:rPr>
          <w:rFonts w:asciiTheme="majorHAnsi" w:hAnsiTheme="majorHAnsi"/>
          <w:bCs/>
        </w:rPr>
        <w:t xml:space="preserve"> </w:t>
      </w:r>
      <w:r w:rsidR="00B05B9D">
        <w:rPr>
          <w:rFonts w:asciiTheme="majorHAnsi" w:hAnsiTheme="majorHAnsi"/>
          <w:bCs/>
        </w:rPr>
        <w:t>Committee</w:t>
      </w:r>
      <w:r w:rsidR="00DA4CF8">
        <w:rPr>
          <w:rFonts w:asciiTheme="majorHAnsi" w:hAnsiTheme="majorHAnsi"/>
          <w:bCs/>
        </w:rPr>
        <w:t xml:space="preserve"> </w:t>
      </w:r>
      <w:r w:rsidR="003A3E6A">
        <w:rPr>
          <w:rFonts w:asciiTheme="majorHAnsi" w:hAnsiTheme="majorHAnsi"/>
          <w:bCs/>
        </w:rPr>
        <w:t>and the input of disabled people</w:t>
      </w:r>
      <w:r>
        <w:rPr>
          <w:rFonts w:asciiTheme="majorHAnsi" w:hAnsiTheme="majorHAnsi"/>
          <w:bCs/>
        </w:rPr>
        <w:t xml:space="preserve">’s </w:t>
      </w:r>
      <w:r w:rsidR="003A3E6A">
        <w:rPr>
          <w:rFonts w:asciiTheme="majorHAnsi" w:hAnsiTheme="majorHAnsi"/>
          <w:bCs/>
        </w:rPr>
        <w:t>organisations</w:t>
      </w:r>
      <w:r w:rsidR="00DA4CF8">
        <w:rPr>
          <w:rFonts w:asciiTheme="majorHAnsi" w:hAnsiTheme="majorHAnsi"/>
          <w:bCs/>
        </w:rPr>
        <w:t>.</w:t>
      </w:r>
    </w:p>
    <w:p w14:paraId="594C3D0C" w14:textId="77777777" w:rsidR="00DA4CF8" w:rsidRPr="008E6A47" w:rsidRDefault="00DA4CF8" w:rsidP="003666D4">
      <w:pPr>
        <w:spacing w:line="276" w:lineRule="auto"/>
        <w:contextualSpacing/>
        <w:jc w:val="both"/>
        <w:rPr>
          <w:rFonts w:asciiTheme="majorHAnsi" w:hAnsiTheme="majorHAnsi"/>
          <w:b/>
        </w:rPr>
      </w:pPr>
    </w:p>
    <w:p w14:paraId="13F43FD1" w14:textId="0464DCD2" w:rsidR="00F941DA" w:rsidRDefault="003A3E6A" w:rsidP="003666D4">
      <w:pPr>
        <w:spacing w:line="276" w:lineRule="auto"/>
        <w:contextualSpacing/>
        <w:jc w:val="both"/>
        <w:rPr>
          <w:rFonts w:asciiTheme="majorHAnsi" w:hAnsiTheme="majorHAnsi"/>
          <w:bCs/>
        </w:rPr>
      </w:pPr>
      <w:r>
        <w:rPr>
          <w:rFonts w:asciiTheme="majorHAnsi" w:hAnsiTheme="majorHAnsi"/>
          <w:bCs/>
        </w:rPr>
        <w:t xml:space="preserve">For ENIL, </w:t>
      </w:r>
      <w:r w:rsidR="007719F5">
        <w:rPr>
          <w:rFonts w:asciiTheme="majorHAnsi" w:hAnsiTheme="majorHAnsi"/>
          <w:bCs/>
        </w:rPr>
        <w:t xml:space="preserve">while we welcome Independent Living being on the agenda of the EU Council, </w:t>
      </w:r>
      <w:r>
        <w:rPr>
          <w:rFonts w:asciiTheme="majorHAnsi" w:hAnsiTheme="majorHAnsi"/>
          <w:bCs/>
        </w:rPr>
        <w:t>the</w:t>
      </w:r>
      <w:r w:rsidR="008E6A47">
        <w:rPr>
          <w:rFonts w:asciiTheme="majorHAnsi" w:hAnsiTheme="majorHAnsi"/>
          <w:bCs/>
        </w:rPr>
        <w:t xml:space="preserve"> </w:t>
      </w:r>
      <w:r w:rsidR="007719F5">
        <w:rPr>
          <w:rFonts w:asciiTheme="majorHAnsi" w:hAnsiTheme="majorHAnsi"/>
          <w:bCs/>
        </w:rPr>
        <w:t>Council Conclusions</w:t>
      </w:r>
      <w:r>
        <w:rPr>
          <w:rFonts w:asciiTheme="majorHAnsi" w:hAnsiTheme="majorHAnsi"/>
          <w:bCs/>
        </w:rPr>
        <w:t xml:space="preserve"> on social exclusion and </w:t>
      </w:r>
      <w:r w:rsidR="00641861">
        <w:rPr>
          <w:rFonts w:asciiTheme="majorHAnsi" w:hAnsiTheme="majorHAnsi"/>
          <w:bCs/>
        </w:rPr>
        <w:t xml:space="preserve">Independent Living are </w:t>
      </w:r>
      <w:r w:rsidR="007719F5">
        <w:rPr>
          <w:rFonts w:asciiTheme="majorHAnsi" w:hAnsiTheme="majorHAnsi"/>
          <w:bCs/>
        </w:rPr>
        <w:t>a missed opportunity to introduce concrete proposals for legal and policy reform, as well as other concrete actions, based on recommendations of the CRPD Committee. This would have been much more useful both for the Member States and the European Commission, especially considering the long awaited second half of the European Disability Rights Strategy.</w:t>
      </w:r>
    </w:p>
    <w:p w14:paraId="04F79CDD" w14:textId="77777777" w:rsidR="00F941DA" w:rsidRDefault="00F941DA" w:rsidP="003666D4">
      <w:pPr>
        <w:spacing w:line="276" w:lineRule="auto"/>
        <w:contextualSpacing/>
        <w:jc w:val="both"/>
        <w:rPr>
          <w:rFonts w:asciiTheme="majorHAnsi" w:hAnsiTheme="majorHAnsi"/>
          <w:bCs/>
        </w:rPr>
      </w:pPr>
    </w:p>
    <w:p w14:paraId="6902C85D" w14:textId="309CD2C5" w:rsidR="00F01A33" w:rsidRDefault="0099644B" w:rsidP="003666D4">
      <w:pPr>
        <w:spacing w:line="276" w:lineRule="auto"/>
        <w:contextualSpacing/>
        <w:jc w:val="both"/>
        <w:rPr>
          <w:rFonts w:asciiTheme="majorHAnsi" w:hAnsiTheme="majorHAnsi"/>
          <w:bCs/>
        </w:rPr>
      </w:pPr>
      <w:r>
        <w:rPr>
          <w:rFonts w:asciiTheme="majorHAnsi" w:hAnsiTheme="majorHAnsi"/>
          <w:bCs/>
        </w:rPr>
        <w:t xml:space="preserve">We call </w:t>
      </w:r>
      <w:r w:rsidR="007719F5">
        <w:rPr>
          <w:rFonts w:asciiTheme="majorHAnsi" w:hAnsiTheme="majorHAnsi"/>
          <w:bCs/>
        </w:rPr>
        <w:t>on the EU Council</w:t>
      </w:r>
      <w:r>
        <w:rPr>
          <w:rFonts w:asciiTheme="majorHAnsi" w:hAnsiTheme="majorHAnsi"/>
          <w:bCs/>
        </w:rPr>
        <w:t xml:space="preserve"> to </w:t>
      </w:r>
      <w:r w:rsidR="008A7F27">
        <w:rPr>
          <w:rFonts w:asciiTheme="majorHAnsi" w:hAnsiTheme="majorHAnsi"/>
          <w:bCs/>
        </w:rPr>
        <w:t>adopt</w:t>
      </w:r>
      <w:r w:rsidR="00491BE3">
        <w:rPr>
          <w:rFonts w:asciiTheme="majorHAnsi" w:hAnsiTheme="majorHAnsi"/>
          <w:bCs/>
        </w:rPr>
        <w:t xml:space="preserve"> a working mode which </w:t>
      </w:r>
      <w:r w:rsidR="00C67E87">
        <w:rPr>
          <w:rFonts w:asciiTheme="majorHAnsi" w:hAnsiTheme="majorHAnsi"/>
          <w:bCs/>
        </w:rPr>
        <w:t xml:space="preserve">does not shy away from difficult debates </w:t>
      </w:r>
      <w:r w:rsidR="003B48B6">
        <w:rPr>
          <w:rFonts w:asciiTheme="majorHAnsi" w:hAnsiTheme="majorHAnsi"/>
          <w:bCs/>
        </w:rPr>
        <w:t xml:space="preserve">and </w:t>
      </w:r>
      <w:r w:rsidR="0080020B">
        <w:rPr>
          <w:rFonts w:asciiTheme="majorHAnsi" w:hAnsiTheme="majorHAnsi"/>
          <w:bCs/>
        </w:rPr>
        <w:t>makes a</w:t>
      </w:r>
      <w:r w:rsidR="00FA574A">
        <w:rPr>
          <w:rFonts w:asciiTheme="majorHAnsi" w:hAnsiTheme="majorHAnsi"/>
          <w:bCs/>
        </w:rPr>
        <w:t>n</w:t>
      </w:r>
      <w:r w:rsidR="0080020B">
        <w:rPr>
          <w:rFonts w:asciiTheme="majorHAnsi" w:hAnsiTheme="majorHAnsi"/>
          <w:bCs/>
        </w:rPr>
        <w:t xml:space="preserve"> effort to </w:t>
      </w:r>
      <w:r w:rsidR="007719F5">
        <w:rPr>
          <w:rFonts w:asciiTheme="majorHAnsi" w:hAnsiTheme="majorHAnsi"/>
          <w:bCs/>
        </w:rPr>
        <w:t xml:space="preserve">identify </w:t>
      </w:r>
      <w:r w:rsidR="00C67E87">
        <w:rPr>
          <w:rFonts w:asciiTheme="majorHAnsi" w:hAnsiTheme="majorHAnsi"/>
          <w:bCs/>
        </w:rPr>
        <w:t xml:space="preserve">real </w:t>
      </w:r>
      <w:r w:rsidR="0080020B">
        <w:rPr>
          <w:rFonts w:asciiTheme="majorHAnsi" w:hAnsiTheme="majorHAnsi"/>
          <w:bCs/>
        </w:rPr>
        <w:t xml:space="preserve">solutions. </w:t>
      </w:r>
    </w:p>
    <w:p w14:paraId="5E67D9C6" w14:textId="77777777" w:rsidR="009E402B" w:rsidRPr="00A97671" w:rsidRDefault="009E402B" w:rsidP="003666D4">
      <w:pPr>
        <w:spacing w:line="276" w:lineRule="auto"/>
        <w:contextualSpacing/>
        <w:jc w:val="both"/>
        <w:rPr>
          <w:rFonts w:asciiTheme="majorHAnsi" w:hAnsiTheme="majorHAnsi"/>
          <w:bCs/>
        </w:rPr>
      </w:pPr>
    </w:p>
    <w:p w14:paraId="5C71D0A2" w14:textId="77777777" w:rsidR="00A0519F" w:rsidRPr="00A97671" w:rsidRDefault="00A0519F" w:rsidP="003666D4">
      <w:pPr>
        <w:spacing w:line="276" w:lineRule="auto"/>
        <w:contextualSpacing/>
        <w:jc w:val="both"/>
        <w:rPr>
          <w:rFonts w:asciiTheme="majorHAnsi" w:hAnsiTheme="majorHAnsi"/>
        </w:rPr>
      </w:pPr>
    </w:p>
    <w:p w14:paraId="45136B3A" w14:textId="77777777" w:rsidR="00946E8C" w:rsidRPr="00A97671" w:rsidRDefault="00946E8C" w:rsidP="003666D4">
      <w:pPr>
        <w:spacing w:line="276" w:lineRule="auto"/>
        <w:contextualSpacing/>
        <w:jc w:val="both"/>
        <w:rPr>
          <w:rFonts w:asciiTheme="majorHAnsi" w:hAnsiTheme="majorHAnsi"/>
        </w:rPr>
      </w:pPr>
    </w:p>
    <w:p w14:paraId="289A9C26" w14:textId="77777777" w:rsidR="00142E91" w:rsidRDefault="00142E91" w:rsidP="00142E91">
      <w:pPr>
        <w:jc w:val="both"/>
        <w:rPr>
          <w:rFonts w:ascii="Arial" w:hAnsi="Arial" w:cs="Arial"/>
        </w:rPr>
      </w:pPr>
      <w:r w:rsidRPr="008D2F24">
        <w:rPr>
          <w:rFonts w:ascii="Arial" w:hAnsi="Arial" w:cs="Arial"/>
        </w:rPr>
        <w:t xml:space="preserve">For additional input please visit </w:t>
      </w:r>
      <w:hyperlink r:id="rId14" w:history="1">
        <w:r w:rsidRPr="008D2F24">
          <w:rPr>
            <w:rStyle w:val="Hyperlink"/>
            <w:rFonts w:ascii="Arial" w:hAnsi="Arial" w:cs="Arial"/>
          </w:rPr>
          <w:t>www.enil.eu</w:t>
        </w:r>
      </w:hyperlink>
      <w:r w:rsidRPr="008D2F24">
        <w:rPr>
          <w:rFonts w:ascii="Arial" w:hAnsi="Arial" w:cs="Arial"/>
        </w:rPr>
        <w:t xml:space="preserve"> or contact: </w:t>
      </w:r>
    </w:p>
    <w:p w14:paraId="4E6520B7" w14:textId="77777777" w:rsidR="00142E91" w:rsidRPr="008D2F24" w:rsidRDefault="00142E91" w:rsidP="00142E91">
      <w:pPr>
        <w:jc w:val="both"/>
        <w:rPr>
          <w:rFonts w:ascii="Arial" w:hAnsi="Arial" w:cs="Arial"/>
        </w:rPr>
      </w:pPr>
    </w:p>
    <w:p w14:paraId="18A4EE31" w14:textId="77777777" w:rsidR="00142E91" w:rsidRPr="008D2F24" w:rsidRDefault="00142E91" w:rsidP="00142E91">
      <w:pPr>
        <w:jc w:val="both"/>
        <w:rPr>
          <w:rFonts w:ascii="Arial" w:hAnsi="Arial" w:cs="Arial"/>
        </w:rPr>
      </w:pPr>
      <w:r w:rsidRPr="008D2F24">
        <w:rPr>
          <w:rFonts w:ascii="Arial" w:hAnsi="Arial" w:cs="Arial"/>
        </w:rPr>
        <w:t>Florian Sanden</w:t>
      </w:r>
    </w:p>
    <w:p w14:paraId="0A527BE3" w14:textId="77777777" w:rsidR="00142E91" w:rsidRPr="008D2F24" w:rsidRDefault="00142E91" w:rsidP="00142E91">
      <w:pPr>
        <w:jc w:val="both"/>
        <w:rPr>
          <w:rFonts w:ascii="Arial" w:hAnsi="Arial" w:cs="Arial"/>
        </w:rPr>
      </w:pPr>
      <w:r w:rsidRPr="008D2F24">
        <w:rPr>
          <w:rFonts w:ascii="Arial" w:hAnsi="Arial" w:cs="Arial"/>
        </w:rPr>
        <w:t xml:space="preserve">ENIL Policy Coordinator, </w:t>
      </w:r>
      <w:hyperlink r:id="rId15" w:history="1">
        <w:r w:rsidRPr="008D2F24">
          <w:rPr>
            <w:rStyle w:val="Hyperlink"/>
            <w:rFonts w:ascii="Arial" w:hAnsi="Arial" w:cs="Arial"/>
          </w:rPr>
          <w:t>florian.sanden@enil.eu</w:t>
        </w:r>
      </w:hyperlink>
    </w:p>
    <w:p w14:paraId="19675BC7" w14:textId="77777777" w:rsidR="00142E91" w:rsidRPr="008D2F24" w:rsidRDefault="00142E91" w:rsidP="00142E91">
      <w:pPr>
        <w:jc w:val="both"/>
        <w:rPr>
          <w:rFonts w:ascii="Arial" w:hAnsi="Arial" w:cs="Arial"/>
        </w:rPr>
      </w:pPr>
    </w:p>
    <w:p w14:paraId="2D38B07E" w14:textId="77777777" w:rsidR="00142E91" w:rsidRDefault="00142E91" w:rsidP="00142E91">
      <w:pPr>
        <w:jc w:val="both"/>
        <w:rPr>
          <w:rFonts w:ascii="Arial" w:hAnsi="Arial" w:cs="Arial"/>
          <w:b/>
          <w:bCs/>
        </w:rPr>
      </w:pPr>
      <w:r w:rsidRPr="008D2F24">
        <w:rPr>
          <w:rFonts w:ascii="Arial" w:hAnsi="Arial" w:cs="Arial"/>
          <w:b/>
          <w:bCs/>
        </w:rPr>
        <w:t>Contact information</w:t>
      </w:r>
    </w:p>
    <w:p w14:paraId="72D7AB63" w14:textId="77777777" w:rsidR="00142E91" w:rsidRPr="008D2F24" w:rsidRDefault="00142E91" w:rsidP="00142E91">
      <w:pPr>
        <w:jc w:val="both"/>
        <w:rPr>
          <w:rFonts w:ascii="Arial" w:hAnsi="Arial" w:cs="Arial"/>
          <w:b/>
          <w:bCs/>
        </w:rPr>
      </w:pPr>
    </w:p>
    <w:p w14:paraId="56D6D818" w14:textId="77777777" w:rsidR="00142E91" w:rsidRPr="008D2F24" w:rsidRDefault="00142E91" w:rsidP="00142E91">
      <w:pPr>
        <w:jc w:val="both"/>
        <w:rPr>
          <w:rFonts w:ascii="Arial" w:eastAsia="Times New Roman" w:hAnsi="Arial" w:cs="Arial"/>
          <w:color w:val="000000"/>
          <w:lang w:eastAsia="en-GB"/>
        </w:rPr>
      </w:pPr>
      <w:r w:rsidRPr="008D2F24">
        <w:rPr>
          <w:rFonts w:ascii="Arial" w:eastAsia="Times New Roman" w:hAnsi="Arial" w:cs="Arial"/>
          <w:color w:val="000000"/>
          <w:lang w:eastAsia="en-GB"/>
        </w:rPr>
        <w:t xml:space="preserve">ENIL Brussels Office </w:t>
      </w:r>
      <w:proofErr w:type="spellStart"/>
      <w:r w:rsidRPr="008D2F24">
        <w:rPr>
          <w:rFonts w:ascii="Arial" w:eastAsia="Times New Roman" w:hAnsi="Arial" w:cs="Arial"/>
          <w:color w:val="000000"/>
          <w:lang w:eastAsia="en-GB"/>
        </w:rPr>
        <w:t>vzw</w:t>
      </w:r>
      <w:proofErr w:type="spellEnd"/>
      <w:r w:rsidRPr="008D2F24">
        <w:rPr>
          <w:rFonts w:ascii="Arial" w:eastAsia="Times New Roman" w:hAnsi="Arial" w:cs="Arial"/>
          <w:color w:val="000000"/>
          <w:lang w:eastAsia="en-GB"/>
        </w:rPr>
        <w:t>/</w:t>
      </w:r>
      <w:proofErr w:type="spellStart"/>
      <w:r w:rsidRPr="008D2F24">
        <w:rPr>
          <w:rFonts w:ascii="Arial" w:eastAsia="Times New Roman" w:hAnsi="Arial" w:cs="Arial"/>
          <w:color w:val="000000"/>
          <w:lang w:eastAsia="en-GB"/>
        </w:rPr>
        <w:t>asbl</w:t>
      </w:r>
      <w:proofErr w:type="spellEnd"/>
      <w:r>
        <w:rPr>
          <w:rFonts w:ascii="Arial" w:eastAsia="Times New Roman" w:hAnsi="Arial" w:cs="Arial"/>
          <w:color w:val="000000"/>
          <w:lang w:eastAsia="en-GB"/>
        </w:rPr>
        <w:t xml:space="preserve"> </w:t>
      </w:r>
      <w:r w:rsidRPr="008D2F24">
        <w:rPr>
          <w:rFonts w:ascii="Arial" w:eastAsia="Times New Roman" w:hAnsi="Arial" w:cs="Arial"/>
          <w:color w:val="000000"/>
          <w:lang w:eastAsia="en-GB"/>
        </w:rPr>
        <w:t>Mundo J - 6th Floor</w:t>
      </w:r>
      <w:r>
        <w:rPr>
          <w:rFonts w:ascii="Arial" w:eastAsia="Times New Roman" w:hAnsi="Arial" w:cs="Arial"/>
          <w:color w:val="000000"/>
          <w:lang w:eastAsia="en-GB"/>
        </w:rPr>
        <w:t xml:space="preserve"> </w:t>
      </w:r>
      <w:r w:rsidRPr="008D2F24">
        <w:rPr>
          <w:rFonts w:ascii="Arial" w:eastAsia="Times New Roman" w:hAnsi="Arial" w:cs="Arial"/>
          <w:color w:val="000000"/>
          <w:lang w:eastAsia="en-GB"/>
        </w:rPr>
        <w:t xml:space="preserve">Rue de </w:t>
      </w:r>
      <w:proofErr w:type="spellStart"/>
      <w:r w:rsidRPr="008D2F24">
        <w:rPr>
          <w:rFonts w:ascii="Arial" w:eastAsia="Times New Roman" w:hAnsi="Arial" w:cs="Arial"/>
          <w:color w:val="000000"/>
          <w:lang w:eastAsia="en-GB"/>
        </w:rPr>
        <w:t>l’Industrie</w:t>
      </w:r>
      <w:proofErr w:type="spellEnd"/>
      <w:r w:rsidRPr="008D2F24">
        <w:rPr>
          <w:rFonts w:ascii="Arial" w:eastAsia="Times New Roman" w:hAnsi="Arial" w:cs="Arial"/>
          <w:color w:val="000000"/>
          <w:lang w:eastAsia="en-GB"/>
        </w:rPr>
        <w:t xml:space="preserve"> 10</w:t>
      </w:r>
      <w:r>
        <w:rPr>
          <w:rFonts w:ascii="Arial" w:eastAsia="Times New Roman" w:hAnsi="Arial" w:cs="Arial"/>
          <w:color w:val="000000"/>
          <w:lang w:eastAsia="en-GB"/>
        </w:rPr>
        <w:t xml:space="preserve"> </w:t>
      </w:r>
      <w:r w:rsidRPr="008D2F24">
        <w:rPr>
          <w:rFonts w:ascii="Arial" w:eastAsia="Times New Roman" w:hAnsi="Arial" w:cs="Arial"/>
          <w:color w:val="000000"/>
          <w:lang w:eastAsia="en-GB"/>
        </w:rPr>
        <w:t>1000 Brussels</w:t>
      </w:r>
      <w:r>
        <w:rPr>
          <w:rFonts w:ascii="Arial" w:eastAsia="Times New Roman" w:hAnsi="Arial" w:cs="Arial"/>
          <w:color w:val="000000"/>
          <w:lang w:eastAsia="en-GB"/>
        </w:rPr>
        <w:t xml:space="preserve">, </w:t>
      </w:r>
      <w:r w:rsidRPr="008D2F24">
        <w:rPr>
          <w:rFonts w:ascii="Arial" w:eastAsia="Times New Roman" w:hAnsi="Arial" w:cs="Arial"/>
          <w:color w:val="000000"/>
          <w:lang w:eastAsia="en-GB"/>
        </w:rPr>
        <w:t>Belgium</w:t>
      </w:r>
    </w:p>
    <w:p w14:paraId="0B2CF68D" w14:textId="77777777" w:rsidR="00142E91" w:rsidRPr="008D2F24" w:rsidRDefault="00142E91" w:rsidP="00142E91">
      <w:pPr>
        <w:spacing w:before="240" w:after="240"/>
        <w:jc w:val="both"/>
        <w:rPr>
          <w:rFonts w:ascii="Arial" w:hAnsi="Arial" w:cs="Arial"/>
        </w:rPr>
      </w:pPr>
      <w:r w:rsidRPr="008D2F24">
        <w:rPr>
          <w:rFonts w:ascii="Arial" w:hAnsi="Arial" w:cs="Arial"/>
          <w:noProof/>
          <w:lang w:eastAsia="el-GR"/>
        </w:rPr>
        <w:lastRenderedPageBreak/>
        <w:drawing>
          <wp:inline distT="0" distB="0" distL="0" distR="0" wp14:anchorId="7CF778A7" wp14:editId="3CDCA8D6">
            <wp:extent cx="2486546" cy="519675"/>
            <wp:effectExtent l="19050" t="0" r="9004" b="0"/>
            <wp:docPr id="1695803895" name="Grafik 169580389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Blue text on a white background&#10;&#10;Description automatically generated"/>
                    <pic:cNvPicPr/>
                  </pic:nvPicPr>
                  <pic:blipFill>
                    <a:blip r:embed="rId16" cstate="screen">
                      <a:extLst>
                        <a:ext uri="{28A0092B-C50C-407E-A947-70E740481C1C}">
                          <a14:useLocalDpi xmlns:a14="http://schemas.microsoft.com/office/drawing/2010/main"/>
                        </a:ext>
                      </a:extLst>
                    </a:blip>
                    <a:stretch>
                      <a:fillRect/>
                    </a:stretch>
                  </pic:blipFill>
                  <pic:spPr>
                    <a:xfrm>
                      <a:off x="0" y="0"/>
                      <a:ext cx="2486546" cy="519675"/>
                    </a:xfrm>
                    <a:prstGeom prst="rect">
                      <a:avLst/>
                    </a:prstGeom>
                  </pic:spPr>
                </pic:pic>
              </a:graphicData>
            </a:graphic>
          </wp:inline>
        </w:drawing>
      </w:r>
      <w:r w:rsidRPr="008D2F24">
        <w:rPr>
          <w:rFonts w:ascii="Arial" w:hAnsi="Arial" w:cs="Arial"/>
          <w:noProof/>
        </w:rPr>
        <w:drawing>
          <wp:inline distT="0" distB="0" distL="0" distR="0" wp14:anchorId="7845F17B" wp14:editId="2E4DF06C">
            <wp:extent cx="1038960" cy="455480"/>
            <wp:effectExtent l="0" t="0" r="2540" b="1905"/>
            <wp:docPr id="80880812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08121" name="Picture 2" descr="A blue and white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2825" cy="501014"/>
                    </a:xfrm>
                    <a:prstGeom prst="rect">
                      <a:avLst/>
                    </a:prstGeom>
                  </pic:spPr>
                </pic:pic>
              </a:graphicData>
            </a:graphic>
          </wp:inline>
        </w:drawing>
      </w:r>
      <w:r w:rsidRPr="008D2F24">
        <w:rPr>
          <w:rFonts w:ascii="Arial" w:hAnsi="Arial" w:cs="Arial"/>
          <w:noProof/>
        </w:rPr>
        <w:drawing>
          <wp:inline distT="0" distB="0" distL="0" distR="0" wp14:anchorId="7F0D3912" wp14:editId="39535F93">
            <wp:extent cx="1170491" cy="451400"/>
            <wp:effectExtent l="0" t="0" r="0" b="6350"/>
            <wp:docPr id="170595328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53282" name="Picture 1" descr="A logo with text on i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303836" cy="502825"/>
                    </a:xfrm>
                    <a:prstGeom prst="rect">
                      <a:avLst/>
                    </a:prstGeom>
                  </pic:spPr>
                </pic:pic>
              </a:graphicData>
            </a:graphic>
          </wp:inline>
        </w:drawing>
      </w:r>
    </w:p>
    <w:p w14:paraId="56FB2CEE" w14:textId="77777777" w:rsidR="00142E91" w:rsidRPr="008D2F24" w:rsidRDefault="00142E91" w:rsidP="00142E91">
      <w:pPr>
        <w:spacing w:before="240" w:after="240"/>
        <w:ind w:left="-3" w:hanging="10"/>
        <w:jc w:val="both"/>
        <w:rPr>
          <w:rFonts w:ascii="Arial" w:hAnsi="Arial" w:cs="Arial"/>
        </w:rPr>
      </w:pPr>
      <w:r w:rsidRPr="008D2F24">
        <w:rPr>
          <w:rFonts w:ascii="Arial" w:hAnsi="Arial" w:cs="Arial"/>
        </w:rPr>
        <w:t>Co-funded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79957BE2" w14:textId="448EE7B5" w:rsidR="00A545F0" w:rsidRPr="00A97671" w:rsidRDefault="00A545F0" w:rsidP="003666D4">
      <w:pPr>
        <w:spacing w:line="276" w:lineRule="auto"/>
        <w:contextualSpacing/>
        <w:jc w:val="both"/>
        <w:rPr>
          <w:rFonts w:asciiTheme="majorHAnsi" w:hAnsiTheme="majorHAnsi"/>
          <w:lang w:val="de-DE"/>
        </w:rPr>
      </w:pPr>
    </w:p>
    <w:sectPr w:rsidR="00A545F0" w:rsidRPr="00A97671" w:rsidSect="002464A2">
      <w:headerReference w:type="default" r:id="rId19"/>
      <w:pgSz w:w="12240" w:h="15840"/>
      <w:pgMar w:top="1440" w:right="1440" w:bottom="1440" w:left="1440" w:header="23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E55B" w14:textId="77777777" w:rsidR="0040344E" w:rsidRDefault="0040344E" w:rsidP="001C7E46">
      <w:pPr>
        <w:spacing w:after="0" w:line="240" w:lineRule="auto"/>
      </w:pPr>
      <w:r>
        <w:separator/>
      </w:r>
    </w:p>
  </w:endnote>
  <w:endnote w:type="continuationSeparator" w:id="0">
    <w:p w14:paraId="3E220C63" w14:textId="77777777" w:rsidR="0040344E" w:rsidRDefault="0040344E" w:rsidP="001C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944B" w14:textId="77777777" w:rsidR="0040344E" w:rsidRDefault="0040344E" w:rsidP="001C7E46">
      <w:pPr>
        <w:spacing w:after="0" w:line="240" w:lineRule="auto"/>
      </w:pPr>
      <w:r>
        <w:separator/>
      </w:r>
    </w:p>
  </w:footnote>
  <w:footnote w:type="continuationSeparator" w:id="0">
    <w:p w14:paraId="5155B828" w14:textId="77777777" w:rsidR="0040344E" w:rsidRDefault="0040344E" w:rsidP="001C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B1FB" w14:textId="221C412C" w:rsidR="00603B8B" w:rsidRPr="00F37B16" w:rsidRDefault="00603B8B" w:rsidP="00603B8B">
    <w:pPr>
      <w:spacing w:line="276" w:lineRule="auto"/>
      <w:contextualSpacing/>
      <w:rPr>
        <w:rFonts w:asciiTheme="majorHAnsi" w:hAnsiTheme="majorHAnsi"/>
        <w:b/>
        <w:bCs/>
      </w:rPr>
    </w:pPr>
    <w:r>
      <w:rPr>
        <w:noProof/>
      </w:rPr>
      <w:drawing>
        <wp:anchor distT="0" distB="0" distL="114300" distR="114300" simplePos="0" relativeHeight="251658240" behindDoc="1" locked="0" layoutInCell="1" allowOverlap="1" wp14:anchorId="11612EDD" wp14:editId="38B18DCB">
          <wp:simplePos x="0" y="0"/>
          <wp:positionH relativeFrom="margin">
            <wp:align>right</wp:align>
          </wp:positionH>
          <wp:positionV relativeFrom="paragraph">
            <wp:posOffset>-1027393</wp:posOffset>
          </wp:positionV>
          <wp:extent cx="1320800" cy="1320800"/>
          <wp:effectExtent l="0" t="0" r="0" b="0"/>
          <wp:wrapTight wrapText="bothSides">
            <wp:wrapPolygon edited="0">
              <wp:start x="6854" y="0"/>
              <wp:lineTo x="4673" y="935"/>
              <wp:lineTo x="623" y="4362"/>
              <wp:lineTo x="0" y="6854"/>
              <wp:lineTo x="0" y="15577"/>
              <wp:lineTo x="3738" y="19938"/>
              <wp:lineTo x="6542" y="21185"/>
              <wp:lineTo x="6854" y="21185"/>
              <wp:lineTo x="14331" y="21185"/>
              <wp:lineTo x="14642" y="21185"/>
              <wp:lineTo x="17446" y="19938"/>
              <wp:lineTo x="21185" y="15577"/>
              <wp:lineTo x="21185" y="6854"/>
              <wp:lineTo x="20873" y="4362"/>
              <wp:lineTo x="16512" y="935"/>
              <wp:lineTo x="14331" y="0"/>
              <wp:lineTo x="6854"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anchor>
      </w:drawing>
    </w:r>
    <w:r w:rsidRPr="00F37B16">
      <w:rPr>
        <w:rFonts w:asciiTheme="majorHAnsi" w:hAnsiTheme="majorHAnsi"/>
        <w:b/>
        <w:bCs/>
      </w:rPr>
      <w:t xml:space="preserve">Reaction of the European Network on Independent Living – ENIL </w:t>
    </w:r>
  </w:p>
  <w:p w14:paraId="7AC21B71" w14:textId="26F863E0" w:rsidR="001C7E46" w:rsidRPr="001C7E46" w:rsidRDefault="001C7E46" w:rsidP="001C7E46">
    <w:pPr>
      <w:pStyle w:val="Kopfzeile"/>
    </w:pPr>
  </w:p>
  <w:p w14:paraId="1EAE69B4" w14:textId="77777777" w:rsidR="001C7E46" w:rsidRDefault="001C7E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1C45"/>
    <w:multiLevelType w:val="hybridMultilevel"/>
    <w:tmpl w:val="B840EFA2"/>
    <w:lvl w:ilvl="0" w:tplc="8C62FC74">
      <w:numFmt w:val="bullet"/>
      <w:lvlText w:val="-"/>
      <w:lvlJc w:val="left"/>
      <w:pPr>
        <w:ind w:left="720" w:hanging="360"/>
      </w:pPr>
      <w:rPr>
        <w:rFonts w:ascii="Aptos" w:eastAsiaTheme="minorEastAsia"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29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22F7B"/>
    <w:rsid w:val="00041FB5"/>
    <w:rsid w:val="00054C75"/>
    <w:rsid w:val="000666AB"/>
    <w:rsid w:val="0007005D"/>
    <w:rsid w:val="000D3BF5"/>
    <w:rsid w:val="000D66B7"/>
    <w:rsid w:val="00133CF2"/>
    <w:rsid w:val="00142E91"/>
    <w:rsid w:val="00161E8B"/>
    <w:rsid w:val="00164049"/>
    <w:rsid w:val="00174657"/>
    <w:rsid w:val="00177D2E"/>
    <w:rsid w:val="001A0B80"/>
    <w:rsid w:val="001B5830"/>
    <w:rsid w:val="001C7E46"/>
    <w:rsid w:val="001D23CA"/>
    <w:rsid w:val="001E4D20"/>
    <w:rsid w:val="001F2229"/>
    <w:rsid w:val="0020747F"/>
    <w:rsid w:val="00242120"/>
    <w:rsid w:val="002464A2"/>
    <w:rsid w:val="00261FA5"/>
    <w:rsid w:val="002624A5"/>
    <w:rsid w:val="00293AC2"/>
    <w:rsid w:val="002B27E3"/>
    <w:rsid w:val="002B69CE"/>
    <w:rsid w:val="002C3138"/>
    <w:rsid w:val="002C6F65"/>
    <w:rsid w:val="002F1B60"/>
    <w:rsid w:val="002F5B82"/>
    <w:rsid w:val="00300456"/>
    <w:rsid w:val="003035C8"/>
    <w:rsid w:val="00305D29"/>
    <w:rsid w:val="00310799"/>
    <w:rsid w:val="00317A6D"/>
    <w:rsid w:val="0032368F"/>
    <w:rsid w:val="00330544"/>
    <w:rsid w:val="003550EB"/>
    <w:rsid w:val="00362A2D"/>
    <w:rsid w:val="003666D4"/>
    <w:rsid w:val="003A3E6A"/>
    <w:rsid w:val="003B48B6"/>
    <w:rsid w:val="003D09DF"/>
    <w:rsid w:val="003D5BF0"/>
    <w:rsid w:val="0040344E"/>
    <w:rsid w:val="00420874"/>
    <w:rsid w:val="004272ED"/>
    <w:rsid w:val="00445AF3"/>
    <w:rsid w:val="004524CE"/>
    <w:rsid w:val="004628C1"/>
    <w:rsid w:val="00491BE3"/>
    <w:rsid w:val="004B3BDB"/>
    <w:rsid w:val="004B524E"/>
    <w:rsid w:val="004D55C8"/>
    <w:rsid w:val="004F5B1D"/>
    <w:rsid w:val="005357D6"/>
    <w:rsid w:val="00545202"/>
    <w:rsid w:val="00595D4A"/>
    <w:rsid w:val="005D0C44"/>
    <w:rsid w:val="005F330E"/>
    <w:rsid w:val="00603B8B"/>
    <w:rsid w:val="0062540A"/>
    <w:rsid w:val="006274C9"/>
    <w:rsid w:val="00641861"/>
    <w:rsid w:val="00656526"/>
    <w:rsid w:val="00673C02"/>
    <w:rsid w:val="006D37DC"/>
    <w:rsid w:val="006D38D6"/>
    <w:rsid w:val="006F7C89"/>
    <w:rsid w:val="0070604A"/>
    <w:rsid w:val="00710A71"/>
    <w:rsid w:val="00717480"/>
    <w:rsid w:val="00735AC7"/>
    <w:rsid w:val="00767C9D"/>
    <w:rsid w:val="007719F5"/>
    <w:rsid w:val="007944C4"/>
    <w:rsid w:val="007A2874"/>
    <w:rsid w:val="007B68A6"/>
    <w:rsid w:val="007D6134"/>
    <w:rsid w:val="0080020B"/>
    <w:rsid w:val="00800DC0"/>
    <w:rsid w:val="00823644"/>
    <w:rsid w:val="00830CE3"/>
    <w:rsid w:val="008478E2"/>
    <w:rsid w:val="00857226"/>
    <w:rsid w:val="00864B97"/>
    <w:rsid w:val="00886510"/>
    <w:rsid w:val="008A6E85"/>
    <w:rsid w:val="008A7F27"/>
    <w:rsid w:val="008D1BC0"/>
    <w:rsid w:val="008E6A47"/>
    <w:rsid w:val="008F7F63"/>
    <w:rsid w:val="009339B8"/>
    <w:rsid w:val="009348C2"/>
    <w:rsid w:val="00946E8C"/>
    <w:rsid w:val="00981936"/>
    <w:rsid w:val="00983FC9"/>
    <w:rsid w:val="00991773"/>
    <w:rsid w:val="00995FC7"/>
    <w:rsid w:val="0099644B"/>
    <w:rsid w:val="009A697A"/>
    <w:rsid w:val="009D146E"/>
    <w:rsid w:val="009E402B"/>
    <w:rsid w:val="009E5FC6"/>
    <w:rsid w:val="00A01BC0"/>
    <w:rsid w:val="00A0519F"/>
    <w:rsid w:val="00A432FC"/>
    <w:rsid w:val="00A43ABF"/>
    <w:rsid w:val="00A52388"/>
    <w:rsid w:val="00A5368E"/>
    <w:rsid w:val="00A545F0"/>
    <w:rsid w:val="00A74356"/>
    <w:rsid w:val="00A91DB7"/>
    <w:rsid w:val="00A97671"/>
    <w:rsid w:val="00AD270F"/>
    <w:rsid w:val="00AE66A5"/>
    <w:rsid w:val="00AF1262"/>
    <w:rsid w:val="00B05B9D"/>
    <w:rsid w:val="00B32987"/>
    <w:rsid w:val="00B32E7D"/>
    <w:rsid w:val="00B34944"/>
    <w:rsid w:val="00B41191"/>
    <w:rsid w:val="00B41596"/>
    <w:rsid w:val="00B5335D"/>
    <w:rsid w:val="00B559F2"/>
    <w:rsid w:val="00B56A4F"/>
    <w:rsid w:val="00B71985"/>
    <w:rsid w:val="00B776EE"/>
    <w:rsid w:val="00B81B18"/>
    <w:rsid w:val="00B90DF6"/>
    <w:rsid w:val="00BC7639"/>
    <w:rsid w:val="00BD4051"/>
    <w:rsid w:val="00BF6A12"/>
    <w:rsid w:val="00C2207D"/>
    <w:rsid w:val="00C54F9B"/>
    <w:rsid w:val="00C67E87"/>
    <w:rsid w:val="00C70E1F"/>
    <w:rsid w:val="00C8367D"/>
    <w:rsid w:val="00C85E6A"/>
    <w:rsid w:val="00CC602B"/>
    <w:rsid w:val="00CF4EC2"/>
    <w:rsid w:val="00D15A53"/>
    <w:rsid w:val="00D23186"/>
    <w:rsid w:val="00D2538F"/>
    <w:rsid w:val="00D83423"/>
    <w:rsid w:val="00DA4CF8"/>
    <w:rsid w:val="00DB73C0"/>
    <w:rsid w:val="00DB75FF"/>
    <w:rsid w:val="00DD1B64"/>
    <w:rsid w:val="00DE1892"/>
    <w:rsid w:val="00DE6C90"/>
    <w:rsid w:val="00E068FC"/>
    <w:rsid w:val="00E06D4E"/>
    <w:rsid w:val="00E1436D"/>
    <w:rsid w:val="00E67510"/>
    <w:rsid w:val="00E80B1B"/>
    <w:rsid w:val="00E9277B"/>
    <w:rsid w:val="00EC7ACC"/>
    <w:rsid w:val="00EE4B11"/>
    <w:rsid w:val="00EE58AD"/>
    <w:rsid w:val="00F01A33"/>
    <w:rsid w:val="00F33680"/>
    <w:rsid w:val="00F37B16"/>
    <w:rsid w:val="00F660D8"/>
    <w:rsid w:val="00F941DA"/>
    <w:rsid w:val="00FA159A"/>
    <w:rsid w:val="00FA574A"/>
    <w:rsid w:val="00FC240C"/>
    <w:rsid w:val="5712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2F7B"/>
  <w15:chartTrackingRefBased/>
  <w15:docId w15:val="{7C8393F8-B527-405D-9516-89454A2F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C8367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367D"/>
    <w:rPr>
      <w:rFonts w:asciiTheme="majorHAnsi" w:eastAsiaTheme="majorEastAsia" w:hAnsiTheme="majorHAnsi" w:cstheme="majorBidi"/>
      <w:color w:val="0F4761" w:themeColor="accent1" w:themeShade="BF"/>
      <w:sz w:val="32"/>
      <w:szCs w:val="32"/>
      <w:lang w:val="en-GB"/>
    </w:rPr>
  </w:style>
  <w:style w:type="paragraph" w:styleId="Listenabsatz">
    <w:name w:val="List Paragraph"/>
    <w:basedOn w:val="Standard"/>
    <w:uiPriority w:val="34"/>
    <w:qFormat/>
    <w:rsid w:val="00293AC2"/>
    <w:pPr>
      <w:ind w:left="720"/>
      <w:contextualSpacing/>
    </w:pPr>
  </w:style>
  <w:style w:type="paragraph" w:customStyle="1" w:styleId="paragraph">
    <w:name w:val="paragraph"/>
    <w:basedOn w:val="Standard"/>
    <w:rsid w:val="001E4D20"/>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Absatz-Standardschriftart"/>
    <w:rsid w:val="001E4D20"/>
  </w:style>
  <w:style w:type="character" w:customStyle="1" w:styleId="eop">
    <w:name w:val="eop"/>
    <w:basedOn w:val="Absatz-Standardschriftart"/>
    <w:rsid w:val="001E4D20"/>
  </w:style>
  <w:style w:type="character" w:styleId="Hyperlink">
    <w:name w:val="Hyperlink"/>
    <w:basedOn w:val="Absatz-Standardschriftart"/>
    <w:uiPriority w:val="99"/>
    <w:unhideWhenUsed/>
    <w:rsid w:val="008D1BC0"/>
    <w:rPr>
      <w:color w:val="467886" w:themeColor="hyperlink"/>
      <w:u w:val="single"/>
    </w:rPr>
  </w:style>
  <w:style w:type="character" w:styleId="NichtaufgelsteErwhnung">
    <w:name w:val="Unresolved Mention"/>
    <w:basedOn w:val="Absatz-Standardschriftart"/>
    <w:uiPriority w:val="99"/>
    <w:semiHidden/>
    <w:unhideWhenUsed/>
    <w:rsid w:val="008D1BC0"/>
    <w:rPr>
      <w:color w:val="605E5C"/>
      <w:shd w:val="clear" w:color="auto" w:fill="E1DFDD"/>
    </w:rPr>
  </w:style>
  <w:style w:type="paragraph" w:styleId="Kopfzeile">
    <w:name w:val="header"/>
    <w:basedOn w:val="Standard"/>
    <w:link w:val="KopfzeileZchn"/>
    <w:uiPriority w:val="99"/>
    <w:unhideWhenUsed/>
    <w:rsid w:val="001C7E4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C7E46"/>
    <w:rPr>
      <w:lang w:val="en-GB"/>
    </w:rPr>
  </w:style>
  <w:style w:type="paragraph" w:styleId="Fuzeile">
    <w:name w:val="footer"/>
    <w:basedOn w:val="Standard"/>
    <w:link w:val="FuzeileZchn"/>
    <w:uiPriority w:val="99"/>
    <w:unhideWhenUsed/>
    <w:rsid w:val="001C7E4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C7E46"/>
    <w:rPr>
      <w:lang w:val="en-GB"/>
    </w:rPr>
  </w:style>
  <w:style w:type="paragraph" w:styleId="berarbeitung">
    <w:name w:val="Revision"/>
    <w:hidden/>
    <w:uiPriority w:val="99"/>
    <w:semiHidden/>
    <w:rsid w:val="009E5FC6"/>
    <w:pPr>
      <w:spacing w:after="0" w:line="240" w:lineRule="auto"/>
    </w:pPr>
    <w:rPr>
      <w:lang w:val="en-GB"/>
    </w:rPr>
  </w:style>
  <w:style w:type="character" w:styleId="Kommentarzeichen">
    <w:name w:val="annotation reference"/>
    <w:basedOn w:val="Absatz-Standardschriftart"/>
    <w:uiPriority w:val="99"/>
    <w:semiHidden/>
    <w:unhideWhenUsed/>
    <w:rsid w:val="009E5FC6"/>
    <w:rPr>
      <w:sz w:val="16"/>
      <w:szCs w:val="16"/>
    </w:rPr>
  </w:style>
  <w:style w:type="paragraph" w:styleId="Kommentartext">
    <w:name w:val="annotation text"/>
    <w:basedOn w:val="Standard"/>
    <w:link w:val="KommentartextZchn"/>
    <w:uiPriority w:val="99"/>
    <w:semiHidden/>
    <w:unhideWhenUsed/>
    <w:rsid w:val="009E5F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E5FC6"/>
    <w:rPr>
      <w:sz w:val="20"/>
      <w:szCs w:val="20"/>
      <w:lang w:val="en-GB"/>
    </w:rPr>
  </w:style>
  <w:style w:type="paragraph" w:styleId="Kommentarthema">
    <w:name w:val="annotation subject"/>
    <w:basedOn w:val="Kommentartext"/>
    <w:next w:val="Kommentartext"/>
    <w:link w:val="KommentarthemaZchn"/>
    <w:uiPriority w:val="99"/>
    <w:semiHidden/>
    <w:unhideWhenUsed/>
    <w:rsid w:val="009E5FC6"/>
    <w:rPr>
      <w:b/>
      <w:bCs/>
    </w:rPr>
  </w:style>
  <w:style w:type="character" w:customStyle="1" w:styleId="KommentarthemaZchn">
    <w:name w:val="Kommentarthema Zchn"/>
    <w:basedOn w:val="KommentartextZchn"/>
    <w:link w:val="Kommentarthema"/>
    <w:uiPriority w:val="99"/>
    <w:semiHidden/>
    <w:rsid w:val="009E5FC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ment-social-affairs.ec.europa.eu/news/commission-adopts-guidance-independent-living-persons-disabilities-2024-11-20_en" TargetMode="External"/><Relationship Id="rId13" Type="http://schemas.openxmlformats.org/officeDocument/2006/relationships/hyperlink" Target="https://bsky.app/profile/enil-eu.bsky.social/post/3lxud2m4ems2f"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silium.europa.eu/en/meetings/epsco/2025/10/17/" TargetMode="External"/><Relationship Id="rId12" Type="http://schemas.openxmlformats.org/officeDocument/2006/relationships/hyperlink" Target="https://enil.eu/wp-content/uploads/2025/09/ENIL-amendments-to-the-Council-Counclusions-on-social-protection-and-IL.docx"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il.eu/wp-content/uploads/2025/07/Recommendations-to-the-Danish-Presidency-of-the-EU-Council.docx" TargetMode="External"/><Relationship Id="rId5" Type="http://schemas.openxmlformats.org/officeDocument/2006/relationships/footnotes" Target="footnotes.xml"/><Relationship Id="rId15" Type="http://schemas.openxmlformats.org/officeDocument/2006/relationships/hyperlink" Target="mailto:florian.sanden@enil.eu" TargetMode="External"/><Relationship Id="rId10" Type="http://schemas.openxmlformats.org/officeDocument/2006/relationships/hyperlink" Target="https://enil.eu/wp-content/uploads/2025/07/New-actions-under-the-EU-Disability-Strategy.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un.org/en/CRPD/C/EU/CO/2-3" TargetMode="External"/><Relationship Id="rId14" Type="http://schemas.openxmlformats.org/officeDocument/2006/relationships/hyperlink" Target="http://www.eni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Sanden</dc:creator>
  <cp:keywords/>
  <dc:description/>
  <cp:lastModifiedBy>Florian Sanden</cp:lastModifiedBy>
  <cp:revision>19</cp:revision>
  <dcterms:created xsi:type="dcterms:W3CDTF">2025-10-22T11:27:00Z</dcterms:created>
  <dcterms:modified xsi:type="dcterms:W3CDTF">2025-10-22T14:41:00Z</dcterms:modified>
</cp:coreProperties>
</file>