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9CAE5" w14:textId="77777777" w:rsidR="00A17617" w:rsidRPr="003F1FCF" w:rsidRDefault="00A17617" w:rsidP="00A17617">
      <w:pPr>
        <w:pStyle w:val="berschrift1"/>
        <w:numPr>
          <w:ilvl w:val="0"/>
          <w:numId w:val="0"/>
        </w:numPr>
        <w:spacing w:after="166"/>
        <w:ind w:left="605" w:right="37" w:hanging="605"/>
        <w:rPr>
          <w:sz w:val="24"/>
          <w:szCs w:val="12"/>
          <w:lang w:val="en-GB"/>
        </w:rPr>
      </w:pPr>
    </w:p>
    <w:p w14:paraId="35A0666A" w14:textId="1A15F50D" w:rsidR="00563022" w:rsidRPr="005A4511" w:rsidRDefault="005A4511" w:rsidP="005A4511">
      <w:pPr>
        <w:pStyle w:val="berschrift1"/>
        <w:numPr>
          <w:ilvl w:val="0"/>
          <w:numId w:val="0"/>
        </w:numPr>
        <w:rPr>
          <w:b/>
          <w:color w:val="E76F35"/>
          <w:sz w:val="32"/>
          <w:lang w:val="en-GB"/>
        </w:rPr>
      </w:pPr>
      <w:r w:rsidRPr="005A4511">
        <w:rPr>
          <w:b/>
          <w:color w:val="E76F35"/>
          <w:sz w:val="32"/>
          <w:lang w:val="en-GB"/>
        </w:rPr>
        <w:t>Recommendations of the European Network on Independent Living (ENIL)</w:t>
      </w:r>
      <w:r>
        <w:rPr>
          <w:b/>
          <w:color w:val="E76F35"/>
          <w:sz w:val="32"/>
          <w:lang w:val="en-GB"/>
        </w:rPr>
        <w:t xml:space="preserve"> </w:t>
      </w:r>
      <w:r w:rsidRPr="005A4511">
        <w:rPr>
          <w:b/>
          <w:color w:val="E76F35"/>
          <w:sz w:val="32"/>
          <w:lang w:val="en-GB"/>
        </w:rPr>
        <w:t>to the Irish Presidency of the EU Council</w:t>
      </w:r>
    </w:p>
    <w:p w14:paraId="55A67BB6" w14:textId="77777777" w:rsidR="00A17617" w:rsidRPr="003F1FCF" w:rsidRDefault="00A17617" w:rsidP="00380A8C">
      <w:pPr>
        <w:spacing w:line="247" w:lineRule="auto"/>
        <w:contextualSpacing/>
        <w:rPr>
          <w:sz w:val="24"/>
          <w:szCs w:val="28"/>
        </w:rPr>
      </w:pPr>
    </w:p>
    <w:p w14:paraId="3615FCE6" w14:textId="77777777" w:rsidR="0050563A" w:rsidRDefault="0050563A" w:rsidP="0050563A">
      <w:pPr>
        <w:spacing w:line="247" w:lineRule="auto"/>
        <w:contextualSpacing/>
        <w:rPr>
          <w:color w:val="355585"/>
          <w:sz w:val="28"/>
          <w:szCs w:val="14"/>
        </w:rPr>
      </w:pPr>
      <w:r w:rsidRPr="0050563A">
        <w:rPr>
          <w:color w:val="355585"/>
          <w:sz w:val="28"/>
          <w:szCs w:val="14"/>
        </w:rPr>
        <w:t xml:space="preserve">Disabled people in the EU face serious challenges and rights restrictions: </w:t>
      </w:r>
    </w:p>
    <w:p w14:paraId="14A773D6" w14:textId="77777777" w:rsidR="0050563A" w:rsidRPr="0050563A" w:rsidRDefault="0050563A" w:rsidP="0050563A">
      <w:pPr>
        <w:spacing w:line="247" w:lineRule="auto"/>
        <w:contextualSpacing/>
        <w:rPr>
          <w:color w:val="355585"/>
          <w:sz w:val="28"/>
          <w:szCs w:val="14"/>
        </w:rPr>
      </w:pPr>
    </w:p>
    <w:p w14:paraId="0493C233" w14:textId="725E3DB5" w:rsidR="0050563A" w:rsidRPr="00E605B0" w:rsidRDefault="0050563A">
      <w:pPr>
        <w:pStyle w:val="Listenabsatz"/>
        <w:numPr>
          <w:ilvl w:val="0"/>
          <w:numId w:val="4"/>
        </w:numPr>
        <w:spacing w:line="247" w:lineRule="auto"/>
        <w:rPr>
          <w:color w:val="355585"/>
          <w:sz w:val="28"/>
          <w:szCs w:val="14"/>
        </w:rPr>
      </w:pPr>
      <w:r w:rsidRPr="00E605B0">
        <w:rPr>
          <w:color w:val="355585"/>
          <w:sz w:val="28"/>
          <w:szCs w:val="14"/>
        </w:rPr>
        <w:t xml:space="preserve">According to </w:t>
      </w:r>
      <w:proofErr w:type="spellStart"/>
      <w:r w:rsidRPr="00E605B0">
        <w:rPr>
          <w:color w:val="355585"/>
          <w:sz w:val="28"/>
          <w:szCs w:val="14"/>
        </w:rPr>
        <w:t>Eurofound</w:t>
      </w:r>
      <w:proofErr w:type="spellEnd"/>
      <w:r w:rsidRPr="00E605B0">
        <w:rPr>
          <w:color w:val="355585"/>
          <w:sz w:val="28"/>
          <w:szCs w:val="14"/>
        </w:rPr>
        <w:t>, the number of disabled people confined to institutions has increased by 29% in the last decade</w:t>
      </w:r>
      <w:r w:rsidR="008B420E">
        <w:rPr>
          <w:rStyle w:val="Funotenzeichen"/>
          <w:color w:val="355585"/>
          <w:sz w:val="28"/>
          <w:szCs w:val="14"/>
        </w:rPr>
        <w:footnoteReference w:id="1"/>
      </w:r>
    </w:p>
    <w:p w14:paraId="45BA5DB6" w14:textId="77777777" w:rsidR="0050563A" w:rsidRPr="0050563A" w:rsidRDefault="0050563A" w:rsidP="00E605B0">
      <w:pPr>
        <w:spacing w:line="247" w:lineRule="auto"/>
        <w:ind w:left="0"/>
        <w:contextualSpacing/>
        <w:rPr>
          <w:color w:val="355585"/>
          <w:sz w:val="28"/>
          <w:szCs w:val="14"/>
        </w:rPr>
      </w:pPr>
    </w:p>
    <w:p w14:paraId="338DCC4F" w14:textId="54C7816D" w:rsidR="0050563A" w:rsidRPr="00E605B0" w:rsidRDefault="0050563A">
      <w:pPr>
        <w:pStyle w:val="Listenabsatz"/>
        <w:numPr>
          <w:ilvl w:val="0"/>
          <w:numId w:val="4"/>
        </w:numPr>
        <w:spacing w:line="247" w:lineRule="auto"/>
        <w:rPr>
          <w:color w:val="355585"/>
          <w:sz w:val="28"/>
          <w:szCs w:val="14"/>
        </w:rPr>
      </w:pPr>
      <w:r w:rsidRPr="00E605B0">
        <w:rPr>
          <w:color w:val="355585"/>
          <w:sz w:val="28"/>
          <w:szCs w:val="14"/>
        </w:rPr>
        <w:t>Between 2010 and 2023 the disability employment gap has increased from 18,6% to 24,5%</w:t>
      </w:r>
      <w:r w:rsidR="008B420E">
        <w:rPr>
          <w:rStyle w:val="Funotenzeichen"/>
          <w:color w:val="355585"/>
          <w:sz w:val="28"/>
          <w:szCs w:val="14"/>
        </w:rPr>
        <w:footnoteReference w:id="2"/>
      </w:r>
    </w:p>
    <w:p w14:paraId="2712C867" w14:textId="77777777" w:rsidR="0050563A" w:rsidRPr="0050563A" w:rsidRDefault="0050563A" w:rsidP="00E605B0">
      <w:pPr>
        <w:spacing w:line="247" w:lineRule="auto"/>
        <w:ind w:left="0"/>
        <w:contextualSpacing/>
        <w:rPr>
          <w:color w:val="355585"/>
          <w:sz w:val="28"/>
          <w:szCs w:val="14"/>
        </w:rPr>
      </w:pPr>
    </w:p>
    <w:p w14:paraId="61E3CBDD" w14:textId="1535989C" w:rsidR="0050563A" w:rsidRPr="00E605B0" w:rsidRDefault="0050563A">
      <w:pPr>
        <w:pStyle w:val="Listenabsatz"/>
        <w:numPr>
          <w:ilvl w:val="0"/>
          <w:numId w:val="4"/>
        </w:numPr>
        <w:spacing w:line="247" w:lineRule="auto"/>
        <w:rPr>
          <w:color w:val="355585"/>
          <w:sz w:val="28"/>
          <w:szCs w:val="14"/>
        </w:rPr>
      </w:pPr>
      <w:r w:rsidRPr="00E605B0">
        <w:rPr>
          <w:color w:val="355585"/>
          <w:sz w:val="28"/>
          <w:szCs w:val="14"/>
        </w:rPr>
        <w:t>According to Eurostat, in 2024 28,8% were at risk of poverty, compared to 17.9% of nondisabled people</w:t>
      </w:r>
      <w:r w:rsidR="008B420E">
        <w:rPr>
          <w:rStyle w:val="Funotenzeichen"/>
          <w:color w:val="355585"/>
          <w:sz w:val="28"/>
          <w:szCs w:val="14"/>
        </w:rPr>
        <w:footnoteReference w:id="3"/>
      </w:r>
      <w:r w:rsidRPr="00E605B0">
        <w:rPr>
          <w:color w:val="355585"/>
          <w:sz w:val="28"/>
          <w:szCs w:val="14"/>
        </w:rPr>
        <w:t xml:space="preserve">  </w:t>
      </w:r>
    </w:p>
    <w:p w14:paraId="65813D5C" w14:textId="77777777" w:rsidR="0050563A" w:rsidRPr="0050563A" w:rsidRDefault="0050563A" w:rsidP="0050563A">
      <w:pPr>
        <w:spacing w:line="247" w:lineRule="auto"/>
        <w:contextualSpacing/>
        <w:rPr>
          <w:color w:val="355585"/>
          <w:sz w:val="28"/>
          <w:szCs w:val="14"/>
        </w:rPr>
      </w:pPr>
    </w:p>
    <w:p w14:paraId="7B10BCF7" w14:textId="77777777" w:rsidR="0050563A" w:rsidRDefault="0050563A" w:rsidP="0050563A">
      <w:pPr>
        <w:spacing w:line="247" w:lineRule="auto"/>
        <w:contextualSpacing/>
        <w:rPr>
          <w:color w:val="355585"/>
          <w:sz w:val="28"/>
          <w:szCs w:val="14"/>
        </w:rPr>
      </w:pPr>
      <w:r w:rsidRPr="0050563A">
        <w:rPr>
          <w:color w:val="355585"/>
          <w:sz w:val="28"/>
          <w:szCs w:val="14"/>
        </w:rPr>
        <w:t xml:space="preserve">The exclusion of disabled people has consequences for the individuals affected but al-so for our economies: </w:t>
      </w:r>
    </w:p>
    <w:p w14:paraId="0BD345D6" w14:textId="77777777" w:rsidR="0050563A" w:rsidRPr="0050563A" w:rsidRDefault="0050563A" w:rsidP="0050563A">
      <w:pPr>
        <w:spacing w:line="247" w:lineRule="auto"/>
        <w:contextualSpacing/>
        <w:rPr>
          <w:color w:val="355585"/>
          <w:sz w:val="28"/>
          <w:szCs w:val="14"/>
        </w:rPr>
      </w:pPr>
    </w:p>
    <w:p w14:paraId="4C2E4E36" w14:textId="4D976EFB" w:rsidR="0050563A" w:rsidRPr="00E605B0" w:rsidRDefault="0050563A">
      <w:pPr>
        <w:pStyle w:val="Listenabsatz"/>
        <w:numPr>
          <w:ilvl w:val="0"/>
          <w:numId w:val="4"/>
        </w:numPr>
        <w:spacing w:line="247" w:lineRule="auto"/>
        <w:rPr>
          <w:color w:val="355585"/>
          <w:sz w:val="28"/>
          <w:szCs w:val="14"/>
        </w:rPr>
      </w:pPr>
      <w:r w:rsidRPr="00E605B0">
        <w:rPr>
          <w:color w:val="355585"/>
          <w:sz w:val="28"/>
          <w:szCs w:val="14"/>
        </w:rPr>
        <w:t>According to the OECD, the EU is suffering a loss of GDP of 0,84-1,42 billion per year, causing losses in tax revenue of EUR 302-493 million</w:t>
      </w:r>
      <w:r w:rsidR="008B420E">
        <w:rPr>
          <w:rStyle w:val="Funotenzeichen"/>
          <w:color w:val="355585"/>
          <w:sz w:val="28"/>
          <w:szCs w:val="14"/>
        </w:rPr>
        <w:footnoteReference w:id="4"/>
      </w:r>
      <w:r w:rsidRPr="00E605B0">
        <w:rPr>
          <w:color w:val="355585"/>
          <w:sz w:val="28"/>
          <w:szCs w:val="14"/>
        </w:rPr>
        <w:t xml:space="preserve"> </w:t>
      </w:r>
    </w:p>
    <w:p w14:paraId="5F2F1F95" w14:textId="77777777" w:rsidR="0050563A" w:rsidRPr="0050563A" w:rsidRDefault="0050563A" w:rsidP="0050563A">
      <w:pPr>
        <w:spacing w:line="247" w:lineRule="auto"/>
        <w:contextualSpacing/>
        <w:rPr>
          <w:color w:val="355585"/>
          <w:sz w:val="28"/>
          <w:szCs w:val="14"/>
        </w:rPr>
      </w:pPr>
    </w:p>
    <w:p w14:paraId="277B3879" w14:textId="77777777" w:rsidR="0050563A" w:rsidRDefault="0050563A" w:rsidP="0050563A">
      <w:pPr>
        <w:spacing w:line="247" w:lineRule="auto"/>
        <w:contextualSpacing/>
        <w:rPr>
          <w:color w:val="355585"/>
          <w:sz w:val="28"/>
          <w:szCs w:val="14"/>
        </w:rPr>
      </w:pPr>
      <w:r w:rsidRPr="0050563A">
        <w:rPr>
          <w:color w:val="355585"/>
          <w:sz w:val="28"/>
          <w:szCs w:val="14"/>
        </w:rPr>
        <w:t>There are many measures that could improve the situation:</w:t>
      </w:r>
    </w:p>
    <w:p w14:paraId="178AF04A" w14:textId="77777777" w:rsidR="0050563A" w:rsidRPr="0050563A" w:rsidRDefault="0050563A" w:rsidP="0050563A">
      <w:pPr>
        <w:spacing w:line="247" w:lineRule="auto"/>
        <w:contextualSpacing/>
        <w:rPr>
          <w:color w:val="355585"/>
          <w:sz w:val="28"/>
          <w:szCs w:val="14"/>
        </w:rPr>
      </w:pPr>
    </w:p>
    <w:p w14:paraId="3D323F0B" w14:textId="627D6FB8" w:rsidR="0050563A" w:rsidRDefault="0050563A">
      <w:pPr>
        <w:pStyle w:val="Listenabsatz"/>
        <w:numPr>
          <w:ilvl w:val="0"/>
          <w:numId w:val="4"/>
        </w:numPr>
        <w:spacing w:line="247" w:lineRule="auto"/>
        <w:rPr>
          <w:color w:val="355585"/>
          <w:sz w:val="28"/>
          <w:szCs w:val="14"/>
        </w:rPr>
      </w:pPr>
      <w:r w:rsidRPr="00E605B0">
        <w:rPr>
          <w:color w:val="355585"/>
          <w:sz w:val="28"/>
          <w:szCs w:val="14"/>
        </w:rPr>
        <w:t>Better access to assistive technologies and artificial intelligence</w:t>
      </w:r>
    </w:p>
    <w:p w14:paraId="07E53AB1" w14:textId="77777777" w:rsidR="00E605B0" w:rsidRPr="00E605B0" w:rsidRDefault="00E605B0" w:rsidP="00E605B0">
      <w:pPr>
        <w:pStyle w:val="Listenabsatz"/>
        <w:spacing w:line="247" w:lineRule="auto"/>
        <w:ind w:left="1080" w:firstLine="0"/>
        <w:rPr>
          <w:color w:val="355585"/>
          <w:sz w:val="28"/>
          <w:szCs w:val="14"/>
        </w:rPr>
      </w:pPr>
    </w:p>
    <w:p w14:paraId="06DB72F1" w14:textId="22902EAA" w:rsidR="00E605B0" w:rsidRPr="00E605B0" w:rsidRDefault="0050563A">
      <w:pPr>
        <w:pStyle w:val="Listenabsatz"/>
        <w:numPr>
          <w:ilvl w:val="0"/>
          <w:numId w:val="4"/>
        </w:numPr>
        <w:spacing w:line="247" w:lineRule="auto"/>
        <w:rPr>
          <w:color w:val="355585"/>
          <w:sz w:val="28"/>
          <w:szCs w:val="14"/>
        </w:rPr>
      </w:pPr>
      <w:r w:rsidRPr="00E605B0">
        <w:rPr>
          <w:color w:val="355585"/>
          <w:sz w:val="28"/>
          <w:szCs w:val="14"/>
        </w:rPr>
        <w:lastRenderedPageBreak/>
        <w:t>Better access to Independent Living Services, especially personal assistance, personal budgets, Centres for Independent Living</w:t>
      </w:r>
    </w:p>
    <w:p w14:paraId="3265CFA3" w14:textId="77777777" w:rsidR="00E605B0" w:rsidRPr="00E605B0" w:rsidRDefault="00E605B0" w:rsidP="00E605B0">
      <w:pPr>
        <w:pStyle w:val="Listenabsatz"/>
        <w:spacing w:line="247" w:lineRule="auto"/>
        <w:ind w:left="1080" w:firstLine="0"/>
        <w:rPr>
          <w:color w:val="355585"/>
          <w:sz w:val="28"/>
          <w:szCs w:val="14"/>
        </w:rPr>
      </w:pPr>
    </w:p>
    <w:p w14:paraId="4B3A2BAD" w14:textId="2DD00178" w:rsidR="00E605B0" w:rsidRPr="00E605B0" w:rsidRDefault="0050563A">
      <w:pPr>
        <w:pStyle w:val="Listenabsatz"/>
        <w:numPr>
          <w:ilvl w:val="0"/>
          <w:numId w:val="4"/>
        </w:numPr>
        <w:spacing w:line="247" w:lineRule="auto"/>
        <w:rPr>
          <w:color w:val="355585"/>
          <w:sz w:val="28"/>
          <w:szCs w:val="14"/>
        </w:rPr>
      </w:pPr>
      <w:r w:rsidRPr="00E605B0">
        <w:rPr>
          <w:color w:val="355585"/>
          <w:sz w:val="28"/>
          <w:szCs w:val="14"/>
        </w:rPr>
        <w:t>Better access to supported employment</w:t>
      </w:r>
    </w:p>
    <w:p w14:paraId="0B5EB45E" w14:textId="77777777" w:rsidR="00E605B0" w:rsidRPr="00E605B0" w:rsidRDefault="00E605B0" w:rsidP="00E605B0">
      <w:pPr>
        <w:pStyle w:val="Listenabsatz"/>
        <w:spacing w:line="247" w:lineRule="auto"/>
        <w:ind w:left="1080" w:firstLine="0"/>
        <w:rPr>
          <w:color w:val="355585"/>
          <w:sz w:val="28"/>
          <w:szCs w:val="14"/>
        </w:rPr>
      </w:pPr>
    </w:p>
    <w:p w14:paraId="6931766B" w14:textId="375575F2" w:rsidR="0050563A" w:rsidRPr="00E605B0" w:rsidRDefault="0050563A">
      <w:pPr>
        <w:pStyle w:val="Listenabsatz"/>
        <w:numPr>
          <w:ilvl w:val="0"/>
          <w:numId w:val="4"/>
        </w:numPr>
        <w:spacing w:line="247" w:lineRule="auto"/>
        <w:rPr>
          <w:color w:val="355585"/>
          <w:sz w:val="28"/>
          <w:szCs w:val="14"/>
        </w:rPr>
      </w:pPr>
      <w:r w:rsidRPr="00E605B0">
        <w:rPr>
          <w:color w:val="355585"/>
          <w:sz w:val="28"/>
          <w:szCs w:val="14"/>
        </w:rPr>
        <w:t>Better access to accessible and affordable housing</w:t>
      </w:r>
    </w:p>
    <w:p w14:paraId="0282B212" w14:textId="77777777" w:rsidR="0050563A" w:rsidRPr="0050563A" w:rsidRDefault="0050563A" w:rsidP="0050563A">
      <w:pPr>
        <w:spacing w:line="247" w:lineRule="auto"/>
        <w:contextualSpacing/>
        <w:rPr>
          <w:color w:val="355585"/>
          <w:sz w:val="28"/>
          <w:szCs w:val="14"/>
        </w:rPr>
      </w:pPr>
    </w:p>
    <w:p w14:paraId="2998C309" w14:textId="32496C49" w:rsidR="0050563A" w:rsidRDefault="0050563A" w:rsidP="0050563A">
      <w:pPr>
        <w:spacing w:line="247" w:lineRule="auto"/>
        <w:contextualSpacing/>
        <w:rPr>
          <w:color w:val="355585"/>
          <w:sz w:val="28"/>
          <w:szCs w:val="14"/>
        </w:rPr>
      </w:pPr>
      <w:r w:rsidRPr="0050563A">
        <w:rPr>
          <w:color w:val="355585"/>
          <w:sz w:val="28"/>
          <w:szCs w:val="14"/>
        </w:rPr>
        <w:t>There is new evidence from economics research according to which personal assi</w:t>
      </w:r>
      <w:r>
        <w:rPr>
          <w:color w:val="355585"/>
          <w:sz w:val="28"/>
          <w:szCs w:val="14"/>
        </w:rPr>
        <w:t>s</w:t>
      </w:r>
      <w:r w:rsidRPr="0050563A">
        <w:rPr>
          <w:color w:val="355585"/>
          <w:sz w:val="28"/>
          <w:szCs w:val="14"/>
        </w:rPr>
        <w:t xml:space="preserve">tance produces productivity gains of EUR 535 million and EUR 405 million of budget savings within a ten-year period. </w:t>
      </w:r>
      <w:r w:rsidR="003F6902">
        <w:rPr>
          <w:rStyle w:val="Funotenzeichen"/>
          <w:color w:val="355585"/>
          <w:sz w:val="28"/>
          <w:szCs w:val="14"/>
        </w:rPr>
        <w:footnoteReference w:id="5"/>
      </w:r>
      <w:r w:rsidRPr="0050563A">
        <w:rPr>
          <w:color w:val="355585"/>
          <w:sz w:val="28"/>
          <w:szCs w:val="14"/>
        </w:rPr>
        <w:t xml:space="preserve"> </w:t>
      </w:r>
    </w:p>
    <w:p w14:paraId="030989AF" w14:textId="77777777" w:rsidR="00E605B0" w:rsidRPr="0050563A" w:rsidRDefault="00E605B0" w:rsidP="0050563A">
      <w:pPr>
        <w:spacing w:line="247" w:lineRule="auto"/>
        <w:contextualSpacing/>
        <w:rPr>
          <w:color w:val="355585"/>
          <w:sz w:val="28"/>
          <w:szCs w:val="14"/>
        </w:rPr>
      </w:pPr>
    </w:p>
    <w:p w14:paraId="60CC27DF" w14:textId="14552545" w:rsidR="00E605B0" w:rsidRDefault="0050563A" w:rsidP="0050563A">
      <w:pPr>
        <w:spacing w:line="247" w:lineRule="auto"/>
        <w:contextualSpacing/>
        <w:rPr>
          <w:color w:val="355585"/>
          <w:sz w:val="28"/>
          <w:szCs w:val="14"/>
        </w:rPr>
      </w:pPr>
      <w:r w:rsidRPr="0050563A">
        <w:rPr>
          <w:color w:val="355585"/>
          <w:sz w:val="28"/>
          <w:szCs w:val="14"/>
        </w:rPr>
        <w:t>ENIL does research on and monitors the access to and the quality of disability services. Our Independent Living Survey, the Independent Living Roadmap and the Policy Report on new pathways for the labour market inclusion of disabled people gathered important insights</w:t>
      </w:r>
      <w:r w:rsidR="008B420E">
        <w:rPr>
          <w:rStyle w:val="Funotenzeichen"/>
          <w:color w:val="355585"/>
          <w:sz w:val="28"/>
          <w:szCs w:val="14"/>
        </w:rPr>
        <w:footnoteReference w:id="6"/>
      </w:r>
      <w:r w:rsidRPr="0050563A">
        <w:rPr>
          <w:color w:val="355585"/>
          <w:sz w:val="28"/>
          <w:szCs w:val="14"/>
        </w:rPr>
        <w:t xml:space="preserve">.  </w:t>
      </w:r>
    </w:p>
    <w:p w14:paraId="2F799E35" w14:textId="77777777" w:rsidR="00E605B0" w:rsidRDefault="00E605B0" w:rsidP="0050563A">
      <w:pPr>
        <w:spacing w:line="247" w:lineRule="auto"/>
        <w:contextualSpacing/>
        <w:rPr>
          <w:color w:val="355585"/>
          <w:sz w:val="28"/>
          <w:szCs w:val="14"/>
        </w:rPr>
      </w:pPr>
    </w:p>
    <w:p w14:paraId="647EF3C7" w14:textId="13228CA0" w:rsidR="0050563A" w:rsidRDefault="0050563A" w:rsidP="0050563A">
      <w:pPr>
        <w:spacing w:line="247" w:lineRule="auto"/>
        <w:contextualSpacing/>
        <w:rPr>
          <w:color w:val="355585"/>
          <w:sz w:val="28"/>
          <w:szCs w:val="14"/>
        </w:rPr>
      </w:pPr>
      <w:r w:rsidRPr="0050563A">
        <w:rPr>
          <w:color w:val="355585"/>
          <w:sz w:val="28"/>
          <w:szCs w:val="14"/>
        </w:rPr>
        <w:t xml:space="preserve">According to our research, across the EU there are severe implementation gaps when it comes to Independent Living Services: </w:t>
      </w:r>
    </w:p>
    <w:p w14:paraId="7C3BC1D9" w14:textId="77777777" w:rsidR="0050563A" w:rsidRPr="0050563A" w:rsidRDefault="0050563A" w:rsidP="0050563A">
      <w:pPr>
        <w:spacing w:line="247" w:lineRule="auto"/>
        <w:contextualSpacing/>
        <w:rPr>
          <w:color w:val="355585"/>
          <w:sz w:val="28"/>
          <w:szCs w:val="14"/>
        </w:rPr>
      </w:pPr>
    </w:p>
    <w:p w14:paraId="7181050B" w14:textId="5D500E94" w:rsidR="0050563A" w:rsidRDefault="0050563A">
      <w:pPr>
        <w:pStyle w:val="Listenabsatz"/>
        <w:numPr>
          <w:ilvl w:val="0"/>
          <w:numId w:val="4"/>
        </w:numPr>
        <w:spacing w:line="247" w:lineRule="auto"/>
        <w:rPr>
          <w:color w:val="355585"/>
          <w:sz w:val="28"/>
          <w:szCs w:val="14"/>
        </w:rPr>
      </w:pPr>
      <w:r w:rsidRPr="00E605B0">
        <w:rPr>
          <w:color w:val="355585"/>
          <w:sz w:val="28"/>
          <w:szCs w:val="14"/>
        </w:rPr>
        <w:t>T</w:t>
      </w:r>
      <w:r w:rsidRPr="00E605B0">
        <w:rPr>
          <w:color w:val="355585"/>
          <w:sz w:val="28"/>
          <w:szCs w:val="14"/>
        </w:rPr>
        <w:t>here is insufficient access to assistive technologies</w:t>
      </w:r>
    </w:p>
    <w:p w14:paraId="5030872D" w14:textId="77777777" w:rsidR="00E605B0" w:rsidRPr="00E605B0" w:rsidRDefault="00E605B0" w:rsidP="00E605B0">
      <w:pPr>
        <w:pStyle w:val="Listenabsatz"/>
        <w:spacing w:line="247" w:lineRule="auto"/>
        <w:ind w:left="1080" w:firstLine="0"/>
        <w:rPr>
          <w:color w:val="355585"/>
          <w:sz w:val="28"/>
          <w:szCs w:val="14"/>
        </w:rPr>
      </w:pPr>
    </w:p>
    <w:p w14:paraId="7B716931" w14:textId="42E1AABC" w:rsidR="00E605B0" w:rsidRPr="00E605B0" w:rsidRDefault="0050563A">
      <w:pPr>
        <w:pStyle w:val="Listenabsatz"/>
        <w:numPr>
          <w:ilvl w:val="0"/>
          <w:numId w:val="4"/>
        </w:numPr>
        <w:spacing w:line="247" w:lineRule="auto"/>
        <w:rPr>
          <w:color w:val="355585"/>
          <w:sz w:val="28"/>
          <w:szCs w:val="14"/>
        </w:rPr>
      </w:pPr>
      <w:r w:rsidRPr="0050563A">
        <w:rPr>
          <w:color w:val="355585"/>
          <w:sz w:val="28"/>
          <w:szCs w:val="14"/>
        </w:rPr>
        <w:t xml:space="preserve">The quality of personal assistance schemes is low </w:t>
      </w:r>
    </w:p>
    <w:p w14:paraId="6010B15F" w14:textId="77777777" w:rsidR="00E605B0" w:rsidRPr="0050563A" w:rsidRDefault="00E605B0" w:rsidP="00E605B0">
      <w:pPr>
        <w:pStyle w:val="Listenabsatz"/>
        <w:spacing w:line="247" w:lineRule="auto"/>
        <w:ind w:left="1080" w:firstLine="0"/>
        <w:rPr>
          <w:color w:val="355585"/>
          <w:sz w:val="28"/>
          <w:szCs w:val="14"/>
        </w:rPr>
      </w:pPr>
    </w:p>
    <w:p w14:paraId="673BFC5A" w14:textId="029284C8" w:rsidR="00E605B0" w:rsidRPr="00E605B0" w:rsidRDefault="0050563A">
      <w:pPr>
        <w:pStyle w:val="Listenabsatz"/>
        <w:numPr>
          <w:ilvl w:val="0"/>
          <w:numId w:val="4"/>
        </w:numPr>
        <w:spacing w:line="247" w:lineRule="auto"/>
        <w:rPr>
          <w:color w:val="355585"/>
          <w:sz w:val="28"/>
          <w:szCs w:val="14"/>
        </w:rPr>
      </w:pPr>
      <w:r w:rsidRPr="0050563A">
        <w:rPr>
          <w:color w:val="355585"/>
          <w:sz w:val="28"/>
          <w:szCs w:val="14"/>
        </w:rPr>
        <w:t>Few countries have nation-wide personal budget schemes</w:t>
      </w:r>
    </w:p>
    <w:p w14:paraId="00CD838A" w14:textId="77777777" w:rsidR="00E605B0" w:rsidRPr="0050563A" w:rsidRDefault="00E605B0" w:rsidP="00E605B0">
      <w:pPr>
        <w:pStyle w:val="Listenabsatz"/>
        <w:spacing w:line="247" w:lineRule="auto"/>
        <w:ind w:left="1080" w:firstLine="0"/>
        <w:rPr>
          <w:color w:val="355585"/>
          <w:sz w:val="28"/>
          <w:szCs w:val="14"/>
        </w:rPr>
      </w:pPr>
    </w:p>
    <w:p w14:paraId="57487884" w14:textId="7C0FE1A3" w:rsidR="00E605B0" w:rsidRPr="00E605B0" w:rsidRDefault="0050563A">
      <w:pPr>
        <w:pStyle w:val="Listenabsatz"/>
        <w:numPr>
          <w:ilvl w:val="0"/>
          <w:numId w:val="4"/>
        </w:numPr>
        <w:spacing w:line="247" w:lineRule="auto"/>
        <w:rPr>
          <w:color w:val="355585"/>
          <w:sz w:val="28"/>
          <w:szCs w:val="14"/>
        </w:rPr>
      </w:pPr>
      <w:r w:rsidRPr="0050563A">
        <w:rPr>
          <w:color w:val="355585"/>
          <w:sz w:val="28"/>
          <w:szCs w:val="14"/>
        </w:rPr>
        <w:t>Supported employment programs remain small compared to segregated employment</w:t>
      </w:r>
    </w:p>
    <w:p w14:paraId="7E106D92" w14:textId="77777777" w:rsidR="00E605B0" w:rsidRDefault="00E605B0" w:rsidP="00E605B0">
      <w:pPr>
        <w:pStyle w:val="Listenabsatz"/>
        <w:spacing w:line="247" w:lineRule="auto"/>
        <w:ind w:left="1080" w:firstLine="0"/>
        <w:rPr>
          <w:color w:val="355585"/>
          <w:sz w:val="28"/>
          <w:szCs w:val="14"/>
        </w:rPr>
      </w:pPr>
    </w:p>
    <w:p w14:paraId="54A968B2" w14:textId="42076C16" w:rsidR="0050563A" w:rsidRDefault="0050563A">
      <w:pPr>
        <w:pStyle w:val="Listenabsatz"/>
        <w:numPr>
          <w:ilvl w:val="0"/>
          <w:numId w:val="4"/>
        </w:numPr>
        <w:spacing w:line="247" w:lineRule="auto"/>
        <w:rPr>
          <w:color w:val="355585"/>
          <w:sz w:val="28"/>
          <w:szCs w:val="14"/>
        </w:rPr>
      </w:pPr>
      <w:r w:rsidRPr="0050563A">
        <w:rPr>
          <w:color w:val="355585"/>
          <w:sz w:val="28"/>
          <w:szCs w:val="14"/>
        </w:rPr>
        <w:lastRenderedPageBreak/>
        <w:t>There is great need for more social and non-profit housing built according to universal design standards</w:t>
      </w:r>
    </w:p>
    <w:p w14:paraId="14B4E77E" w14:textId="77777777" w:rsidR="00EF386B" w:rsidRPr="00EF386B" w:rsidRDefault="00EF386B" w:rsidP="00EF386B">
      <w:pPr>
        <w:spacing w:line="247" w:lineRule="auto"/>
        <w:ind w:left="0" w:firstLine="0"/>
        <w:rPr>
          <w:color w:val="355585"/>
          <w:sz w:val="28"/>
          <w:szCs w:val="14"/>
        </w:rPr>
      </w:pPr>
    </w:p>
    <w:p w14:paraId="64BFB960" w14:textId="7190304B" w:rsidR="0050563A" w:rsidRPr="0050563A" w:rsidRDefault="00EF386B" w:rsidP="0050563A">
      <w:pPr>
        <w:spacing w:line="247" w:lineRule="auto"/>
        <w:contextualSpacing/>
        <w:rPr>
          <w:color w:val="355585"/>
          <w:sz w:val="28"/>
          <w:szCs w:val="14"/>
        </w:rPr>
      </w:pPr>
      <w:r w:rsidRPr="00EF386B">
        <w:rPr>
          <w:b/>
          <w:color w:val="E76F35"/>
          <w:sz w:val="28"/>
          <w:szCs w:val="22"/>
        </w:rPr>
        <w:t>We are recommending to the Irish Presidency of the EU Council to:</w:t>
      </w:r>
    </w:p>
    <w:p w14:paraId="2EF509EB" w14:textId="77777777" w:rsidR="0050563A" w:rsidRPr="0050563A" w:rsidRDefault="0050563A" w:rsidP="0050563A">
      <w:pPr>
        <w:spacing w:line="247" w:lineRule="auto"/>
        <w:contextualSpacing/>
        <w:rPr>
          <w:color w:val="355585"/>
          <w:sz w:val="28"/>
          <w:szCs w:val="14"/>
        </w:rPr>
      </w:pPr>
    </w:p>
    <w:p w14:paraId="7CDC31FC" w14:textId="5C961750" w:rsidR="0050563A" w:rsidRDefault="0050563A">
      <w:pPr>
        <w:pStyle w:val="Listenabsatz"/>
        <w:numPr>
          <w:ilvl w:val="0"/>
          <w:numId w:val="5"/>
        </w:numPr>
        <w:spacing w:line="247" w:lineRule="auto"/>
        <w:rPr>
          <w:color w:val="355585"/>
          <w:sz w:val="28"/>
          <w:szCs w:val="14"/>
        </w:rPr>
      </w:pPr>
      <w:r w:rsidRPr="00E605B0">
        <w:rPr>
          <w:color w:val="355585"/>
          <w:sz w:val="28"/>
          <w:szCs w:val="14"/>
        </w:rPr>
        <w:t>Contribute to improving financing and market conditions for assistive technologies and human rights compliant AI usage by ensuring coverage under the Euro-pean Innovation Act, the European Research Area Act and the Public Procurement Act</w:t>
      </w:r>
    </w:p>
    <w:p w14:paraId="04DC384F" w14:textId="77777777" w:rsidR="00E605B0" w:rsidRPr="00E605B0" w:rsidRDefault="00E605B0" w:rsidP="00E605B0">
      <w:pPr>
        <w:pStyle w:val="Listenabsatz"/>
        <w:spacing w:line="247" w:lineRule="auto"/>
        <w:ind w:left="1080" w:firstLine="0"/>
        <w:rPr>
          <w:color w:val="355585"/>
          <w:sz w:val="28"/>
          <w:szCs w:val="14"/>
        </w:rPr>
      </w:pPr>
    </w:p>
    <w:p w14:paraId="252D5C85" w14:textId="67544B37" w:rsidR="00E605B0" w:rsidRPr="00E605B0" w:rsidRDefault="0050563A">
      <w:pPr>
        <w:pStyle w:val="Listenabsatz"/>
        <w:numPr>
          <w:ilvl w:val="0"/>
          <w:numId w:val="5"/>
        </w:numPr>
        <w:spacing w:line="247" w:lineRule="auto"/>
        <w:rPr>
          <w:color w:val="355585"/>
          <w:sz w:val="28"/>
          <w:szCs w:val="14"/>
        </w:rPr>
      </w:pPr>
      <w:r w:rsidRPr="00E605B0">
        <w:rPr>
          <w:color w:val="355585"/>
          <w:sz w:val="28"/>
          <w:szCs w:val="14"/>
        </w:rPr>
        <w:t>Support a Multiannual Financial Framework that mobilises investments in Per-sonal Assistance, Personal Budgets and Centres for Independent Living. We need binding rules for National and Regional Partnership Plans to contribute to the implementation of the UN CRPD</w:t>
      </w:r>
    </w:p>
    <w:p w14:paraId="0F89667C" w14:textId="77777777" w:rsidR="00E605B0" w:rsidRPr="00E605B0" w:rsidRDefault="00E605B0" w:rsidP="00E605B0">
      <w:pPr>
        <w:pStyle w:val="Listenabsatz"/>
        <w:spacing w:line="247" w:lineRule="auto"/>
        <w:ind w:left="1080" w:firstLine="0"/>
        <w:rPr>
          <w:color w:val="355585"/>
          <w:sz w:val="28"/>
          <w:szCs w:val="14"/>
        </w:rPr>
      </w:pPr>
    </w:p>
    <w:p w14:paraId="3B694D54" w14:textId="5D6FC643" w:rsidR="00E605B0" w:rsidRPr="00E605B0" w:rsidRDefault="0050563A">
      <w:pPr>
        <w:pStyle w:val="Listenabsatz"/>
        <w:numPr>
          <w:ilvl w:val="0"/>
          <w:numId w:val="5"/>
        </w:numPr>
        <w:spacing w:line="247" w:lineRule="auto"/>
        <w:rPr>
          <w:color w:val="355585"/>
          <w:sz w:val="28"/>
          <w:szCs w:val="14"/>
        </w:rPr>
      </w:pPr>
      <w:r w:rsidRPr="00E605B0">
        <w:rPr>
          <w:color w:val="355585"/>
          <w:sz w:val="28"/>
          <w:szCs w:val="14"/>
        </w:rPr>
        <w:t>Work towards a State Aid-General Block Exemption Regulation that incentivises investments in supported employment</w:t>
      </w:r>
    </w:p>
    <w:p w14:paraId="67B8E656" w14:textId="77777777" w:rsidR="00E605B0" w:rsidRPr="00E605B0" w:rsidRDefault="00E605B0" w:rsidP="00E605B0">
      <w:pPr>
        <w:pStyle w:val="Listenabsatz"/>
        <w:spacing w:line="247" w:lineRule="auto"/>
        <w:ind w:left="1080" w:firstLine="0"/>
        <w:rPr>
          <w:color w:val="355585"/>
          <w:sz w:val="28"/>
          <w:szCs w:val="14"/>
        </w:rPr>
      </w:pPr>
    </w:p>
    <w:p w14:paraId="34342092" w14:textId="05094948" w:rsidR="00673329" w:rsidRPr="00E605B0" w:rsidRDefault="0050563A">
      <w:pPr>
        <w:pStyle w:val="Listenabsatz"/>
        <w:numPr>
          <w:ilvl w:val="0"/>
          <w:numId w:val="5"/>
        </w:numPr>
        <w:spacing w:line="247" w:lineRule="auto"/>
        <w:rPr>
          <w:color w:val="355585"/>
          <w:sz w:val="28"/>
          <w:szCs w:val="14"/>
        </w:rPr>
      </w:pPr>
      <w:r w:rsidRPr="00E605B0">
        <w:rPr>
          <w:color w:val="355585"/>
          <w:sz w:val="28"/>
          <w:szCs w:val="14"/>
        </w:rPr>
        <w:t>Help to amend the Proposal for a Council Recommendation on Housing Exclusion to ensure it contains approaches to tackling homelessness of disabled people. Contribute to a simplification package that supports universal design standards in housing.</w:t>
      </w:r>
    </w:p>
    <w:p w14:paraId="77B8B29D" w14:textId="77777777" w:rsidR="00673329" w:rsidRDefault="00673329" w:rsidP="00380A8C">
      <w:pPr>
        <w:spacing w:line="247" w:lineRule="auto"/>
        <w:contextualSpacing/>
        <w:rPr>
          <w:color w:val="355585"/>
          <w:sz w:val="28"/>
          <w:szCs w:val="14"/>
        </w:rPr>
      </w:pPr>
    </w:p>
    <w:p w14:paraId="0B0117DC" w14:textId="77777777" w:rsidR="00673329" w:rsidRDefault="00673329" w:rsidP="00380A8C">
      <w:pPr>
        <w:spacing w:line="247" w:lineRule="auto"/>
        <w:contextualSpacing/>
        <w:rPr>
          <w:color w:val="355585"/>
          <w:sz w:val="28"/>
          <w:szCs w:val="14"/>
        </w:rPr>
      </w:pPr>
    </w:p>
    <w:p w14:paraId="603582D5" w14:textId="77777777" w:rsidR="00673329" w:rsidRDefault="00673329" w:rsidP="00380A8C">
      <w:pPr>
        <w:spacing w:line="247" w:lineRule="auto"/>
        <w:contextualSpacing/>
        <w:rPr>
          <w:color w:val="355585"/>
          <w:sz w:val="28"/>
          <w:szCs w:val="14"/>
        </w:rPr>
      </w:pPr>
    </w:p>
    <w:p w14:paraId="2B87D701" w14:textId="77777777" w:rsidR="00673329" w:rsidRDefault="00673329" w:rsidP="00380A8C">
      <w:pPr>
        <w:spacing w:line="247" w:lineRule="auto"/>
        <w:contextualSpacing/>
        <w:rPr>
          <w:color w:val="355585"/>
          <w:sz w:val="28"/>
          <w:szCs w:val="14"/>
        </w:rPr>
      </w:pPr>
    </w:p>
    <w:p w14:paraId="3BAF3CE5" w14:textId="77777777" w:rsidR="00673329" w:rsidRPr="003F1FCF" w:rsidRDefault="00673329" w:rsidP="00380A8C">
      <w:pPr>
        <w:spacing w:line="247" w:lineRule="auto"/>
        <w:contextualSpacing/>
        <w:rPr>
          <w:color w:val="355585"/>
          <w:sz w:val="28"/>
          <w:szCs w:val="14"/>
        </w:rPr>
      </w:pPr>
    </w:p>
    <w:p w14:paraId="3C7F4DBB" w14:textId="77777777" w:rsidR="00380E26" w:rsidRPr="003F1FCF" w:rsidRDefault="00380E26" w:rsidP="00380A8C">
      <w:pPr>
        <w:spacing w:line="247" w:lineRule="auto"/>
        <w:ind w:left="0" w:firstLine="0"/>
        <w:contextualSpacing/>
      </w:pPr>
    </w:p>
    <w:p w14:paraId="67C2DF27" w14:textId="77777777" w:rsidR="00771288" w:rsidRDefault="00771288" w:rsidP="00673329">
      <w:pPr>
        <w:ind w:left="0" w:firstLine="0"/>
        <w:contextualSpacing/>
        <w:rPr>
          <w:sz w:val="24"/>
        </w:rPr>
      </w:pPr>
    </w:p>
    <w:p w14:paraId="714448D2" w14:textId="77777777" w:rsidR="008E2530" w:rsidRDefault="008E2530" w:rsidP="00673329">
      <w:pPr>
        <w:ind w:left="0" w:firstLine="0"/>
        <w:contextualSpacing/>
        <w:rPr>
          <w:sz w:val="24"/>
        </w:rPr>
      </w:pPr>
    </w:p>
    <w:p w14:paraId="207A9A86" w14:textId="77777777" w:rsidR="008E2530" w:rsidRDefault="008E2530" w:rsidP="00673329">
      <w:pPr>
        <w:ind w:left="0" w:firstLine="0"/>
        <w:contextualSpacing/>
        <w:rPr>
          <w:sz w:val="24"/>
        </w:rPr>
      </w:pPr>
    </w:p>
    <w:p w14:paraId="419154CF" w14:textId="77777777" w:rsidR="008E2530" w:rsidRDefault="008E2530" w:rsidP="00673329">
      <w:pPr>
        <w:ind w:left="0" w:firstLine="0"/>
        <w:contextualSpacing/>
        <w:rPr>
          <w:sz w:val="24"/>
        </w:rPr>
      </w:pPr>
    </w:p>
    <w:p w14:paraId="70D8158D" w14:textId="77777777" w:rsidR="008E2530" w:rsidRDefault="008E2530" w:rsidP="00673329">
      <w:pPr>
        <w:ind w:left="0" w:firstLine="0"/>
        <w:contextualSpacing/>
        <w:rPr>
          <w:sz w:val="24"/>
        </w:rPr>
      </w:pPr>
    </w:p>
    <w:p w14:paraId="50344824" w14:textId="77777777" w:rsidR="008E2530" w:rsidRDefault="008E2530" w:rsidP="00673329">
      <w:pPr>
        <w:ind w:left="0" w:firstLine="0"/>
        <w:contextualSpacing/>
        <w:rPr>
          <w:sz w:val="24"/>
        </w:rPr>
      </w:pPr>
    </w:p>
    <w:p w14:paraId="72809CC9" w14:textId="77777777" w:rsidR="008E2530" w:rsidRDefault="008E2530" w:rsidP="00673329">
      <w:pPr>
        <w:ind w:left="0" w:firstLine="0"/>
        <w:contextualSpacing/>
        <w:rPr>
          <w:sz w:val="24"/>
        </w:rPr>
      </w:pPr>
    </w:p>
    <w:p w14:paraId="1F8B7AE5" w14:textId="77777777" w:rsidR="008E2530" w:rsidRPr="00867483" w:rsidRDefault="008E2530" w:rsidP="00673329">
      <w:pPr>
        <w:ind w:left="0" w:firstLine="0"/>
        <w:contextualSpacing/>
        <w:rPr>
          <w:sz w:val="24"/>
        </w:rPr>
      </w:pPr>
    </w:p>
    <w:p w14:paraId="24373618" w14:textId="50383FBB" w:rsidR="00E8731C" w:rsidRDefault="00E8731C" w:rsidP="005B1F24">
      <w:pPr>
        <w:contextualSpacing/>
        <w:rPr>
          <w:sz w:val="24"/>
        </w:rPr>
      </w:pPr>
    </w:p>
    <w:p w14:paraId="56DABECB" w14:textId="20D6443F" w:rsidR="00B142DD" w:rsidRDefault="00B142DD" w:rsidP="0015367E">
      <w:pPr>
        <w:rPr>
          <w:color w:val="355585"/>
          <w:sz w:val="28"/>
          <w:szCs w:val="14"/>
        </w:rPr>
      </w:pPr>
      <w:r w:rsidRPr="00B142DD">
        <w:rPr>
          <w:color w:val="355585"/>
          <w:sz w:val="28"/>
          <w:szCs w:val="14"/>
        </w:rPr>
        <w:lastRenderedPageBreak/>
        <w:t>1. For inclusive and human rights affirming assistive technologies and artificial intelligence</w:t>
      </w:r>
    </w:p>
    <w:p w14:paraId="183CEA7E" w14:textId="77777777" w:rsidR="00EF386B" w:rsidRPr="00EF386B" w:rsidRDefault="00EF386B" w:rsidP="00EF386B">
      <w:pPr>
        <w:spacing w:before="240" w:after="240" w:line="276" w:lineRule="auto"/>
        <w:rPr>
          <w:rFonts w:eastAsia="Arial"/>
          <w:sz w:val="24"/>
          <w:szCs w:val="28"/>
        </w:rPr>
      </w:pPr>
      <w:r w:rsidRPr="00EF386B">
        <w:rPr>
          <w:rFonts w:eastAsia="Arial"/>
          <w:sz w:val="24"/>
          <w:szCs w:val="28"/>
        </w:rPr>
        <w:t>As an organisation committed to the rights of disabled people, independent living, and the implementation of the UN Convention on the Rights of Persons with Disabilities (CRPD), we urge the Irish Presidency to make inclusive and rights-based assistive technology policy a key priority during its 2026 Presidency.</w:t>
      </w:r>
    </w:p>
    <w:p w14:paraId="73FCA196" w14:textId="77777777" w:rsidR="00EF386B" w:rsidRPr="00EF386B" w:rsidRDefault="00EF386B" w:rsidP="00EF386B">
      <w:pPr>
        <w:spacing w:before="240" w:after="240" w:line="276" w:lineRule="auto"/>
        <w:rPr>
          <w:rFonts w:eastAsia="Arial"/>
          <w:sz w:val="24"/>
          <w:szCs w:val="28"/>
        </w:rPr>
      </w:pPr>
      <w:r w:rsidRPr="00EF386B">
        <w:rPr>
          <w:rFonts w:eastAsia="Arial"/>
          <w:sz w:val="24"/>
          <w:szCs w:val="28"/>
        </w:rPr>
        <w:t xml:space="preserve">Assistive technologies (AT) and artificial intelligence (AI) are increasingly shaping participation in education, employment, communication, mobility, housing, and public life. These technologies can significantly strengthen autonomy and inclusion. However, without a strong human rights framework, they can also reinforce surveillance, dependency, discrimination, and institutionalisation, </w:t>
      </w:r>
      <w:hyperlink r:id="rId8">
        <w:r w:rsidRPr="00EF386B">
          <w:rPr>
            <w:rFonts w:eastAsia="Arial"/>
            <w:color w:val="1155CC"/>
            <w:sz w:val="24"/>
            <w:szCs w:val="28"/>
            <w:u w:val="single"/>
          </w:rPr>
          <w:t>as we explored in our Artificial Intelligence and Independent Living fact sheet</w:t>
        </w:r>
      </w:hyperlink>
      <w:r w:rsidRPr="00EF386B">
        <w:rPr>
          <w:rFonts w:eastAsia="Arial"/>
          <w:sz w:val="24"/>
          <w:szCs w:val="28"/>
        </w:rPr>
        <w:t>.</w:t>
      </w:r>
    </w:p>
    <w:p w14:paraId="3DCFF213" w14:textId="77777777" w:rsidR="00EF386B" w:rsidRPr="00EF386B" w:rsidRDefault="00EF386B" w:rsidP="00EF386B">
      <w:pPr>
        <w:spacing w:before="240" w:after="240" w:line="276" w:lineRule="auto"/>
        <w:rPr>
          <w:rFonts w:eastAsia="Arial"/>
          <w:sz w:val="24"/>
          <w:szCs w:val="28"/>
        </w:rPr>
      </w:pPr>
      <w:r w:rsidRPr="00EF386B">
        <w:rPr>
          <w:rFonts w:eastAsia="Arial"/>
          <w:sz w:val="24"/>
          <w:szCs w:val="28"/>
        </w:rPr>
        <w:t>The Irish Presidency has an important opportunity to promote a European approach grounded in the principles of independent living, accessibility, dignity, and “Nothing Without Us.”</w:t>
      </w:r>
    </w:p>
    <w:p w14:paraId="6D86A308" w14:textId="77777777" w:rsidR="00EF386B" w:rsidRPr="00EF386B" w:rsidRDefault="00EF386B" w:rsidP="00EF386B">
      <w:pPr>
        <w:spacing w:before="240" w:after="240" w:line="276" w:lineRule="auto"/>
        <w:rPr>
          <w:rFonts w:eastAsia="Arial"/>
          <w:sz w:val="24"/>
          <w:szCs w:val="28"/>
        </w:rPr>
      </w:pPr>
      <w:r w:rsidRPr="00EF386B">
        <w:rPr>
          <w:rFonts w:eastAsia="Arial"/>
          <w:sz w:val="24"/>
          <w:szCs w:val="28"/>
        </w:rPr>
        <w:t>We call on the Irish Presidency to:</w:t>
      </w:r>
    </w:p>
    <w:p w14:paraId="793307D4" w14:textId="5D27C738" w:rsidR="00EF386B" w:rsidRPr="00EF386B" w:rsidRDefault="00EF386B">
      <w:pPr>
        <w:numPr>
          <w:ilvl w:val="0"/>
          <w:numId w:val="6"/>
        </w:numPr>
        <w:spacing w:before="240" w:after="0" w:line="276" w:lineRule="auto"/>
        <w:rPr>
          <w:rFonts w:eastAsia="Arial"/>
          <w:sz w:val="24"/>
          <w:szCs w:val="28"/>
        </w:rPr>
      </w:pPr>
      <w:r w:rsidRPr="00EF386B">
        <w:rPr>
          <w:rFonts w:eastAsia="Arial"/>
          <w:sz w:val="24"/>
          <w:szCs w:val="28"/>
        </w:rPr>
        <w:t>Recognise access to assistive technology as a human rights issue linked to CRPD rights, including accessibility, independent living, communication, education, employment, and participation in society.</w:t>
      </w:r>
    </w:p>
    <w:p w14:paraId="185011C5" w14:textId="77777777" w:rsidR="00EF386B" w:rsidRPr="00EF386B" w:rsidRDefault="00EF386B" w:rsidP="00EF386B">
      <w:pPr>
        <w:spacing w:before="240" w:after="0" w:line="276" w:lineRule="auto"/>
        <w:ind w:left="720" w:firstLine="0"/>
        <w:rPr>
          <w:rFonts w:eastAsia="Arial"/>
          <w:sz w:val="24"/>
          <w:szCs w:val="28"/>
        </w:rPr>
      </w:pPr>
    </w:p>
    <w:p w14:paraId="5F2054F7" w14:textId="1B0778EB" w:rsidR="00EF386B" w:rsidRPr="00EF386B" w:rsidRDefault="00EF386B">
      <w:pPr>
        <w:numPr>
          <w:ilvl w:val="0"/>
          <w:numId w:val="6"/>
        </w:numPr>
        <w:spacing w:after="0" w:line="276" w:lineRule="auto"/>
        <w:rPr>
          <w:rFonts w:eastAsia="Arial"/>
          <w:sz w:val="24"/>
          <w:szCs w:val="28"/>
        </w:rPr>
      </w:pPr>
      <w:r w:rsidRPr="00EF386B">
        <w:rPr>
          <w:rFonts w:eastAsia="Arial"/>
          <w:sz w:val="24"/>
          <w:szCs w:val="28"/>
        </w:rPr>
        <w:t>Promote affordable, and publicly funded assistive technologies, including AI-enabled tools such as captioning, speech-to-text, augmentative and alternative communication (AAC), sign language technologies and more.</w:t>
      </w:r>
    </w:p>
    <w:p w14:paraId="210BDCBF" w14:textId="77777777" w:rsidR="00EF386B" w:rsidRPr="00EF386B" w:rsidRDefault="00EF386B" w:rsidP="00EF386B">
      <w:pPr>
        <w:spacing w:after="0" w:line="276" w:lineRule="auto"/>
        <w:ind w:left="0" w:firstLine="0"/>
        <w:rPr>
          <w:rFonts w:eastAsia="Arial"/>
          <w:sz w:val="24"/>
          <w:szCs w:val="28"/>
        </w:rPr>
      </w:pPr>
    </w:p>
    <w:p w14:paraId="192A681E" w14:textId="2B8B6245" w:rsidR="00EF386B" w:rsidRPr="00EF386B" w:rsidRDefault="00EF386B">
      <w:pPr>
        <w:numPr>
          <w:ilvl w:val="0"/>
          <w:numId w:val="6"/>
        </w:numPr>
        <w:spacing w:after="0" w:line="276" w:lineRule="auto"/>
        <w:rPr>
          <w:rFonts w:eastAsia="Arial"/>
          <w:sz w:val="24"/>
          <w:szCs w:val="28"/>
        </w:rPr>
      </w:pPr>
      <w:r w:rsidRPr="00EF386B">
        <w:rPr>
          <w:rFonts w:eastAsia="Arial"/>
          <w:sz w:val="24"/>
          <w:szCs w:val="28"/>
        </w:rPr>
        <w:t>Ensure that disabled people and our representative organisations are meaningfully involved in the design, governance, procurement, and evaluation of assistive and AI technologies at EU level.</w:t>
      </w:r>
    </w:p>
    <w:p w14:paraId="5E05A226" w14:textId="77777777" w:rsidR="00EF386B" w:rsidRPr="00EF386B" w:rsidRDefault="00EF386B" w:rsidP="00EF386B">
      <w:pPr>
        <w:spacing w:after="0" w:line="276" w:lineRule="auto"/>
        <w:ind w:left="720" w:firstLine="0"/>
        <w:rPr>
          <w:rFonts w:eastAsia="Arial"/>
          <w:sz w:val="24"/>
          <w:szCs w:val="28"/>
        </w:rPr>
      </w:pPr>
    </w:p>
    <w:p w14:paraId="6FACE777" w14:textId="182C7DFE" w:rsidR="00EF386B" w:rsidRPr="00EF386B" w:rsidRDefault="00EF386B">
      <w:pPr>
        <w:numPr>
          <w:ilvl w:val="0"/>
          <w:numId w:val="6"/>
        </w:numPr>
        <w:spacing w:after="0" w:line="276" w:lineRule="auto"/>
        <w:rPr>
          <w:rFonts w:eastAsia="Arial"/>
          <w:sz w:val="24"/>
          <w:szCs w:val="28"/>
        </w:rPr>
      </w:pPr>
      <w:r w:rsidRPr="00EF386B">
        <w:rPr>
          <w:rFonts w:eastAsia="Arial"/>
          <w:sz w:val="24"/>
          <w:szCs w:val="28"/>
        </w:rPr>
        <w:t xml:space="preserve">Support open standards, interoperability, and open-source accessibility solutions </w:t>
      </w:r>
      <w:proofErr w:type="gramStart"/>
      <w:r w:rsidRPr="00EF386B">
        <w:rPr>
          <w:rFonts w:eastAsia="Arial"/>
          <w:sz w:val="24"/>
          <w:szCs w:val="28"/>
        </w:rPr>
        <w:t>in order to</w:t>
      </w:r>
      <w:proofErr w:type="gramEnd"/>
      <w:r w:rsidRPr="00EF386B">
        <w:rPr>
          <w:rFonts w:eastAsia="Arial"/>
          <w:sz w:val="24"/>
          <w:szCs w:val="28"/>
        </w:rPr>
        <w:t xml:space="preserve"> reduce costs, prevent digital exclusion, and strengthen user choice and control.</w:t>
      </w:r>
    </w:p>
    <w:p w14:paraId="148C913F" w14:textId="77777777" w:rsidR="00EF386B" w:rsidRPr="00EF386B" w:rsidRDefault="00EF386B" w:rsidP="00EF386B">
      <w:pPr>
        <w:spacing w:after="0" w:line="276" w:lineRule="auto"/>
        <w:ind w:left="720" w:firstLine="0"/>
        <w:rPr>
          <w:rFonts w:eastAsia="Arial"/>
          <w:sz w:val="24"/>
          <w:szCs w:val="28"/>
        </w:rPr>
      </w:pPr>
    </w:p>
    <w:p w14:paraId="6FD0DBE0" w14:textId="324D9806" w:rsidR="00EF386B" w:rsidRPr="00EF386B" w:rsidRDefault="00EF386B">
      <w:pPr>
        <w:numPr>
          <w:ilvl w:val="0"/>
          <w:numId w:val="6"/>
        </w:numPr>
        <w:spacing w:after="0" w:line="276" w:lineRule="auto"/>
        <w:rPr>
          <w:rFonts w:eastAsia="Arial"/>
          <w:sz w:val="24"/>
          <w:szCs w:val="28"/>
        </w:rPr>
      </w:pPr>
      <w:r w:rsidRPr="00EF386B">
        <w:rPr>
          <w:rFonts w:eastAsia="Arial"/>
          <w:sz w:val="24"/>
          <w:szCs w:val="28"/>
        </w:rPr>
        <w:t>Guarantee that AI systems used in public services are accessible, transparent, explainable, and subject to human oversight, particularly where decisions affect disabled people’s rights and access to services.</w:t>
      </w:r>
    </w:p>
    <w:p w14:paraId="1D981E58" w14:textId="77777777" w:rsidR="00EF386B" w:rsidRPr="00EF386B" w:rsidRDefault="00EF386B" w:rsidP="00EF386B">
      <w:pPr>
        <w:spacing w:after="0" w:line="276" w:lineRule="auto"/>
        <w:ind w:left="720" w:firstLine="0"/>
        <w:rPr>
          <w:rFonts w:eastAsia="Arial"/>
          <w:sz w:val="24"/>
          <w:szCs w:val="28"/>
        </w:rPr>
      </w:pPr>
    </w:p>
    <w:p w14:paraId="3AB3C327" w14:textId="05D0CCD3" w:rsidR="00EF386B" w:rsidRPr="00EF386B" w:rsidRDefault="00EF386B">
      <w:pPr>
        <w:numPr>
          <w:ilvl w:val="0"/>
          <w:numId w:val="6"/>
        </w:numPr>
        <w:spacing w:after="0" w:line="276" w:lineRule="auto"/>
        <w:rPr>
          <w:rFonts w:eastAsia="Arial"/>
          <w:sz w:val="24"/>
          <w:szCs w:val="28"/>
        </w:rPr>
      </w:pPr>
      <w:r w:rsidRPr="00EF386B">
        <w:rPr>
          <w:rFonts w:eastAsia="Arial"/>
          <w:sz w:val="24"/>
          <w:szCs w:val="28"/>
        </w:rPr>
        <w:lastRenderedPageBreak/>
        <w:t>Oppose the use of AI and digital technologies for surveillance, behavioural monitoring, or other practices that undermine privacy, autonomy, legal capacity, and independent living.</w:t>
      </w:r>
    </w:p>
    <w:p w14:paraId="27B3E061" w14:textId="77777777" w:rsidR="00EF386B" w:rsidRPr="00EF386B" w:rsidRDefault="00EF386B" w:rsidP="00EF386B">
      <w:pPr>
        <w:spacing w:after="0" w:line="276" w:lineRule="auto"/>
        <w:ind w:left="720" w:firstLine="0"/>
        <w:rPr>
          <w:rFonts w:eastAsia="Arial"/>
          <w:sz w:val="24"/>
          <w:szCs w:val="28"/>
        </w:rPr>
      </w:pPr>
    </w:p>
    <w:p w14:paraId="0D0252AD" w14:textId="2B82A354" w:rsidR="00EF386B" w:rsidRPr="00EF386B" w:rsidRDefault="00EF386B">
      <w:pPr>
        <w:numPr>
          <w:ilvl w:val="0"/>
          <w:numId w:val="6"/>
        </w:numPr>
        <w:spacing w:after="0" w:line="276" w:lineRule="auto"/>
        <w:rPr>
          <w:rFonts w:eastAsia="Arial"/>
          <w:sz w:val="24"/>
          <w:szCs w:val="28"/>
        </w:rPr>
      </w:pPr>
      <w:r w:rsidRPr="00EF386B">
        <w:rPr>
          <w:rFonts w:eastAsia="Arial"/>
          <w:sz w:val="24"/>
          <w:szCs w:val="28"/>
        </w:rPr>
        <w:t xml:space="preserve">Ensure that EU digital and innovation funding supports community living and </w:t>
      </w:r>
      <w:proofErr w:type="gramStart"/>
      <w:r w:rsidRPr="00EF386B">
        <w:rPr>
          <w:rFonts w:eastAsia="Arial"/>
          <w:sz w:val="24"/>
          <w:szCs w:val="28"/>
        </w:rPr>
        <w:t>accessibility, and</w:t>
      </w:r>
      <w:proofErr w:type="gramEnd"/>
      <w:r w:rsidRPr="00EF386B">
        <w:rPr>
          <w:rFonts w:eastAsia="Arial"/>
          <w:sz w:val="24"/>
          <w:szCs w:val="28"/>
        </w:rPr>
        <w:t xml:space="preserve"> does not contribute to segregation or institutional models of care.</w:t>
      </w:r>
    </w:p>
    <w:p w14:paraId="792EA1CE" w14:textId="77777777" w:rsidR="00EF386B" w:rsidRPr="00EF386B" w:rsidRDefault="00EF386B" w:rsidP="00EF386B">
      <w:pPr>
        <w:spacing w:after="0" w:line="276" w:lineRule="auto"/>
        <w:ind w:left="720" w:firstLine="0"/>
        <w:rPr>
          <w:rFonts w:eastAsia="Arial"/>
          <w:sz w:val="24"/>
          <w:szCs w:val="28"/>
        </w:rPr>
      </w:pPr>
    </w:p>
    <w:p w14:paraId="58A68F3E" w14:textId="77777777" w:rsidR="00EF386B" w:rsidRPr="00EF386B" w:rsidRDefault="00EF386B">
      <w:pPr>
        <w:numPr>
          <w:ilvl w:val="0"/>
          <w:numId w:val="6"/>
        </w:numPr>
        <w:spacing w:after="240" w:line="276" w:lineRule="auto"/>
        <w:rPr>
          <w:rFonts w:eastAsia="Arial"/>
          <w:sz w:val="24"/>
          <w:szCs w:val="28"/>
        </w:rPr>
      </w:pPr>
      <w:r w:rsidRPr="00EF386B">
        <w:rPr>
          <w:rFonts w:eastAsia="Arial"/>
          <w:sz w:val="24"/>
          <w:szCs w:val="28"/>
        </w:rPr>
        <w:t>Promote strong protections for disability-related data, including biometric, behavioural, communication, and mobility data collected through assistive technologies and AI systems.</w:t>
      </w:r>
    </w:p>
    <w:p w14:paraId="08D21F3C" w14:textId="77777777" w:rsidR="00EF386B" w:rsidRPr="00EF386B" w:rsidRDefault="00EF386B" w:rsidP="00EF386B">
      <w:pPr>
        <w:spacing w:before="240" w:after="240" w:line="276" w:lineRule="auto"/>
        <w:rPr>
          <w:rFonts w:eastAsia="Arial"/>
          <w:sz w:val="24"/>
          <w:szCs w:val="28"/>
        </w:rPr>
      </w:pPr>
      <w:r w:rsidRPr="00EF386B">
        <w:rPr>
          <w:rFonts w:eastAsia="Arial"/>
          <w:sz w:val="24"/>
          <w:szCs w:val="28"/>
        </w:rPr>
        <w:t>We also encourage the Irish Presidency to initiate discussions on a long-term European framework on disability, assistive technology, and human rights, developed in partnership with disabled people’s organisations and independent living movements across Europe.</w:t>
      </w:r>
    </w:p>
    <w:p w14:paraId="0004EEE2" w14:textId="77777777" w:rsidR="00EF386B" w:rsidRPr="00EF386B" w:rsidRDefault="00EF386B" w:rsidP="00EF386B">
      <w:pPr>
        <w:spacing w:before="240" w:after="240" w:line="276" w:lineRule="auto"/>
        <w:rPr>
          <w:rFonts w:eastAsia="Arial"/>
          <w:sz w:val="24"/>
          <w:szCs w:val="28"/>
        </w:rPr>
      </w:pPr>
      <w:r w:rsidRPr="00EF386B">
        <w:rPr>
          <w:rFonts w:eastAsia="Arial"/>
          <w:sz w:val="24"/>
          <w:szCs w:val="28"/>
        </w:rPr>
        <w:t>Technology must support freedom, participation, and self-determination, not replace human support, restrict autonomy, or create new forms of exclusion. Europe’s digital future must be built with disabled people, not for disabled people.</w:t>
      </w:r>
    </w:p>
    <w:p w14:paraId="584CFC69" w14:textId="77777777" w:rsidR="00EF386B" w:rsidRPr="00EF386B" w:rsidRDefault="00EF386B" w:rsidP="00EF386B">
      <w:pPr>
        <w:spacing w:before="240" w:after="240" w:line="276" w:lineRule="auto"/>
        <w:rPr>
          <w:rFonts w:eastAsia="Arial"/>
          <w:sz w:val="24"/>
          <w:szCs w:val="28"/>
        </w:rPr>
      </w:pPr>
      <w:r w:rsidRPr="00EF386B">
        <w:rPr>
          <w:rFonts w:eastAsia="Arial"/>
          <w:sz w:val="24"/>
          <w:szCs w:val="28"/>
        </w:rPr>
        <w:t>We believe Ireland can play a leading role in advancing a rights-based and inclusive vision for assistive technology and AI within the European Union.</w:t>
      </w:r>
    </w:p>
    <w:p w14:paraId="2F7478D9" w14:textId="7F168E69" w:rsidR="00C94B9A" w:rsidRPr="00C94B9A" w:rsidRDefault="004B48A1" w:rsidP="004B48A1">
      <w:pPr>
        <w:spacing w:after="160" w:line="278" w:lineRule="auto"/>
        <w:ind w:left="0" w:firstLine="0"/>
        <w:jc w:val="left"/>
        <w:rPr>
          <w:color w:val="355585"/>
          <w:sz w:val="28"/>
          <w:szCs w:val="14"/>
        </w:rPr>
      </w:pPr>
      <w:r>
        <w:rPr>
          <w:color w:val="355585"/>
          <w:sz w:val="28"/>
          <w:szCs w:val="14"/>
        </w:rPr>
        <w:br w:type="page"/>
      </w:r>
    </w:p>
    <w:p w14:paraId="2203AF60" w14:textId="2B23E3EB" w:rsidR="00D1202F" w:rsidRDefault="00D1202F" w:rsidP="00ED45F7">
      <w:pPr>
        <w:spacing w:line="276" w:lineRule="auto"/>
        <w:contextualSpacing/>
        <w:rPr>
          <w:color w:val="355585"/>
          <w:sz w:val="28"/>
          <w:szCs w:val="14"/>
        </w:rPr>
      </w:pPr>
      <w:r w:rsidRPr="00D1202F">
        <w:rPr>
          <w:color w:val="355585"/>
          <w:sz w:val="28"/>
          <w:szCs w:val="14"/>
        </w:rPr>
        <w:lastRenderedPageBreak/>
        <w:t xml:space="preserve">2. For an EU Multiannual Financial Framework that supports equal treatment, social inclusion and competitiveness </w:t>
      </w:r>
    </w:p>
    <w:p w14:paraId="7791B043" w14:textId="77777777" w:rsidR="00D1202F" w:rsidRPr="00CD08D1" w:rsidRDefault="00D1202F" w:rsidP="00ED45F7">
      <w:pPr>
        <w:spacing w:line="276" w:lineRule="auto"/>
        <w:contextualSpacing/>
        <w:rPr>
          <w:color w:val="355585"/>
          <w:sz w:val="32"/>
          <w:szCs w:val="16"/>
        </w:rPr>
      </w:pPr>
    </w:p>
    <w:p w14:paraId="4D921A11" w14:textId="77777777" w:rsidR="00CD08D1" w:rsidRPr="00CD08D1" w:rsidRDefault="00CD08D1" w:rsidP="00CD08D1">
      <w:pPr>
        <w:spacing w:line="276" w:lineRule="auto"/>
        <w:contextualSpacing/>
        <w:rPr>
          <w:rFonts w:eastAsia="Arial"/>
          <w:sz w:val="24"/>
          <w:szCs w:val="28"/>
        </w:rPr>
      </w:pPr>
      <w:r w:rsidRPr="00CD08D1">
        <w:rPr>
          <w:rFonts w:eastAsia="Arial"/>
          <w:sz w:val="24"/>
          <w:szCs w:val="28"/>
        </w:rPr>
        <w:t>Together with allied organisations, ENIL has adopted detailed amendments to three Multiannual Financial Framework (MFF) Regulations:</w:t>
      </w:r>
      <w:r w:rsidRPr="00CD08D1">
        <w:rPr>
          <w:rStyle w:val="Funotenzeichen"/>
          <w:rFonts w:eastAsia="Arial"/>
          <w:sz w:val="24"/>
          <w:szCs w:val="28"/>
        </w:rPr>
        <w:footnoteReference w:id="7"/>
      </w:r>
      <w:r w:rsidRPr="00CD08D1">
        <w:rPr>
          <w:rFonts w:eastAsia="Arial"/>
          <w:sz w:val="24"/>
          <w:szCs w:val="28"/>
        </w:rPr>
        <w:t xml:space="preserve"> 1. The National Regional Partnership Plan Regulation (NRP-R), 2. The Budgetary Tracking and Performance Framework, 3. Global Europe. </w:t>
      </w:r>
    </w:p>
    <w:p w14:paraId="78FED829" w14:textId="77777777" w:rsidR="00CD08D1" w:rsidRDefault="00CD08D1" w:rsidP="00CD08D1">
      <w:pPr>
        <w:spacing w:line="276" w:lineRule="auto"/>
        <w:contextualSpacing/>
        <w:rPr>
          <w:rFonts w:eastAsia="Arial"/>
          <w:sz w:val="24"/>
          <w:szCs w:val="28"/>
        </w:rPr>
      </w:pPr>
    </w:p>
    <w:p w14:paraId="16EFEFCC" w14:textId="268EB461" w:rsidR="00CD08D1" w:rsidRPr="005B128F" w:rsidRDefault="005B128F" w:rsidP="005B128F">
      <w:pPr>
        <w:spacing w:before="240" w:after="240"/>
        <w:rPr>
          <w:color w:val="355585"/>
          <w:sz w:val="28"/>
          <w:szCs w:val="14"/>
        </w:rPr>
      </w:pPr>
      <w:r>
        <w:rPr>
          <w:color w:val="355585"/>
          <w:sz w:val="28"/>
          <w:szCs w:val="14"/>
        </w:rPr>
        <w:t>Commitments to implement the adopted legislation</w:t>
      </w:r>
    </w:p>
    <w:p w14:paraId="0DCF3416" w14:textId="77777777" w:rsidR="00CD08D1" w:rsidRPr="00CD08D1" w:rsidRDefault="00CD08D1" w:rsidP="00CD08D1">
      <w:pPr>
        <w:spacing w:line="276" w:lineRule="auto"/>
        <w:contextualSpacing/>
        <w:rPr>
          <w:rFonts w:eastAsia="Arial"/>
          <w:sz w:val="24"/>
          <w:szCs w:val="28"/>
        </w:rPr>
      </w:pPr>
      <w:r w:rsidRPr="00CD08D1">
        <w:rPr>
          <w:rFonts w:eastAsia="Arial"/>
          <w:sz w:val="24"/>
          <w:szCs w:val="28"/>
        </w:rPr>
        <w:t xml:space="preserve">The European Union has committed itself to implement: </w:t>
      </w:r>
    </w:p>
    <w:p w14:paraId="610DF4B3" w14:textId="77777777" w:rsidR="00CD08D1" w:rsidRPr="00CD08D1" w:rsidRDefault="00CD08D1">
      <w:pPr>
        <w:pStyle w:val="Listenabsatz"/>
        <w:numPr>
          <w:ilvl w:val="0"/>
          <w:numId w:val="7"/>
        </w:numPr>
        <w:spacing w:after="160" w:line="276" w:lineRule="auto"/>
        <w:rPr>
          <w:rFonts w:eastAsia="Arial"/>
          <w:sz w:val="24"/>
          <w:szCs w:val="28"/>
        </w:rPr>
      </w:pPr>
      <w:r w:rsidRPr="00CD08D1">
        <w:rPr>
          <w:rFonts w:eastAsia="Arial"/>
          <w:sz w:val="24"/>
          <w:szCs w:val="28"/>
        </w:rPr>
        <w:t>The provisions on the equal treatment of disabled people expressed in the Treaty on the Functioning of the EU (TFEU) and in the EU Charter on Fundamental Rights</w:t>
      </w:r>
    </w:p>
    <w:p w14:paraId="6F716685" w14:textId="77777777" w:rsidR="00CD08D1" w:rsidRPr="00CD08D1" w:rsidRDefault="00CD08D1">
      <w:pPr>
        <w:pStyle w:val="Listenabsatz"/>
        <w:numPr>
          <w:ilvl w:val="0"/>
          <w:numId w:val="7"/>
        </w:numPr>
        <w:spacing w:after="160" w:line="279" w:lineRule="auto"/>
        <w:rPr>
          <w:rFonts w:eastAsia="Arial"/>
          <w:sz w:val="24"/>
          <w:szCs w:val="28"/>
        </w:rPr>
      </w:pPr>
      <w:r w:rsidRPr="00CD08D1">
        <w:rPr>
          <w:rFonts w:eastAsia="Arial"/>
          <w:sz w:val="24"/>
          <w:szCs w:val="28"/>
        </w:rPr>
        <w:t>The United Nations Convention on the Rights of Persons with Disabilities (UN CRPD)</w:t>
      </w:r>
    </w:p>
    <w:p w14:paraId="6C76E0F1" w14:textId="77777777" w:rsidR="00CD08D1" w:rsidRPr="00CD08D1" w:rsidRDefault="00CD08D1">
      <w:pPr>
        <w:pStyle w:val="Listenabsatz"/>
        <w:numPr>
          <w:ilvl w:val="0"/>
          <w:numId w:val="7"/>
        </w:numPr>
        <w:spacing w:after="160" w:line="279" w:lineRule="auto"/>
        <w:rPr>
          <w:rFonts w:eastAsia="Arial"/>
          <w:sz w:val="24"/>
          <w:szCs w:val="28"/>
        </w:rPr>
      </w:pPr>
      <w:r w:rsidRPr="00CD08D1">
        <w:rPr>
          <w:rFonts w:eastAsia="Arial"/>
          <w:sz w:val="24"/>
          <w:szCs w:val="28"/>
        </w:rPr>
        <w:t>The European Commission Notice “Guidance to Member States on Independent Living and Inclusion in the Community”</w:t>
      </w:r>
    </w:p>
    <w:p w14:paraId="27A07BA8" w14:textId="77777777" w:rsidR="00CD08D1" w:rsidRPr="00CD08D1" w:rsidRDefault="00CD08D1" w:rsidP="00CD08D1">
      <w:pPr>
        <w:rPr>
          <w:rFonts w:eastAsia="Arial"/>
          <w:sz w:val="24"/>
          <w:szCs w:val="28"/>
        </w:rPr>
      </w:pPr>
      <w:r w:rsidRPr="00CD08D1">
        <w:rPr>
          <w:rFonts w:eastAsia="Arial"/>
          <w:sz w:val="24"/>
          <w:szCs w:val="28"/>
        </w:rPr>
        <w:t>Especially the UN CRPD in conjunction with the authoritative General Comments and Guidelines issued by the Committee on the Rights of Persons with Disabilities contains a detailed policy roadmap for:</w:t>
      </w:r>
    </w:p>
    <w:p w14:paraId="52B4AA7B" w14:textId="77777777" w:rsidR="00CD08D1" w:rsidRPr="00CD08D1" w:rsidRDefault="00CD08D1">
      <w:pPr>
        <w:pStyle w:val="Listenabsatz"/>
        <w:numPr>
          <w:ilvl w:val="0"/>
          <w:numId w:val="2"/>
        </w:numPr>
        <w:spacing w:after="160" w:line="279" w:lineRule="auto"/>
        <w:rPr>
          <w:rFonts w:eastAsia="Arial"/>
          <w:sz w:val="24"/>
          <w:szCs w:val="28"/>
        </w:rPr>
      </w:pPr>
      <w:r w:rsidRPr="00CD08D1">
        <w:rPr>
          <w:rFonts w:eastAsia="Arial"/>
          <w:sz w:val="24"/>
          <w:szCs w:val="28"/>
        </w:rPr>
        <w:t>The introduction of community-based services, especially personal assistance</w:t>
      </w:r>
    </w:p>
    <w:p w14:paraId="77FD1157" w14:textId="77777777" w:rsidR="00CD08D1" w:rsidRPr="00CD08D1" w:rsidRDefault="00CD08D1">
      <w:pPr>
        <w:pStyle w:val="Listenabsatz"/>
        <w:numPr>
          <w:ilvl w:val="0"/>
          <w:numId w:val="2"/>
        </w:numPr>
        <w:spacing w:after="160" w:line="279" w:lineRule="auto"/>
        <w:rPr>
          <w:rFonts w:eastAsia="Arial"/>
          <w:sz w:val="24"/>
          <w:szCs w:val="28"/>
        </w:rPr>
      </w:pPr>
      <w:r w:rsidRPr="00CD08D1">
        <w:rPr>
          <w:rFonts w:eastAsia="Arial"/>
          <w:sz w:val="24"/>
          <w:szCs w:val="28"/>
        </w:rPr>
        <w:t>Deinstitutionalisation</w:t>
      </w:r>
    </w:p>
    <w:p w14:paraId="428F1C95" w14:textId="77777777" w:rsidR="00CD08D1" w:rsidRPr="00CD08D1" w:rsidRDefault="00CD08D1">
      <w:pPr>
        <w:pStyle w:val="Listenabsatz"/>
        <w:numPr>
          <w:ilvl w:val="0"/>
          <w:numId w:val="2"/>
        </w:numPr>
        <w:spacing w:after="160" w:line="279" w:lineRule="auto"/>
        <w:rPr>
          <w:rFonts w:eastAsia="Arial"/>
          <w:sz w:val="24"/>
          <w:szCs w:val="28"/>
        </w:rPr>
      </w:pPr>
      <w:r w:rsidRPr="00CD08D1">
        <w:rPr>
          <w:rFonts w:eastAsia="Arial"/>
          <w:sz w:val="24"/>
          <w:szCs w:val="28"/>
        </w:rPr>
        <w:t xml:space="preserve">Supported employment </w:t>
      </w:r>
    </w:p>
    <w:p w14:paraId="7DED1076" w14:textId="77777777" w:rsidR="004B48A1" w:rsidRDefault="00CD08D1" w:rsidP="00CD08D1">
      <w:pPr>
        <w:spacing w:line="278" w:lineRule="auto"/>
        <w:contextualSpacing/>
        <w:rPr>
          <w:rFonts w:eastAsia="Arial"/>
          <w:sz w:val="24"/>
          <w:szCs w:val="28"/>
        </w:rPr>
      </w:pPr>
      <w:r w:rsidRPr="00CD08D1">
        <w:rPr>
          <w:rFonts w:eastAsia="Arial"/>
          <w:sz w:val="24"/>
          <w:szCs w:val="28"/>
        </w:rPr>
        <w:t xml:space="preserve">For the moment, neither of the three regulations, the NRP-R, the Performance Framework or Global Europe, adequately reflect those commitments. </w:t>
      </w:r>
    </w:p>
    <w:p w14:paraId="559CA675" w14:textId="77777777" w:rsidR="004B48A1" w:rsidRDefault="004B48A1" w:rsidP="00CD08D1">
      <w:pPr>
        <w:spacing w:line="278" w:lineRule="auto"/>
        <w:contextualSpacing/>
        <w:rPr>
          <w:rFonts w:eastAsia="Arial"/>
          <w:sz w:val="24"/>
          <w:szCs w:val="28"/>
        </w:rPr>
      </w:pPr>
    </w:p>
    <w:p w14:paraId="1CDB9A0B" w14:textId="58907B92" w:rsidR="004B48A1" w:rsidRPr="00093A9A" w:rsidRDefault="004B48A1" w:rsidP="004B48A1">
      <w:pPr>
        <w:spacing w:line="278" w:lineRule="auto"/>
        <w:contextualSpacing/>
        <w:rPr>
          <w:rFonts w:eastAsia="Arial"/>
          <w:sz w:val="24"/>
          <w:szCs w:val="28"/>
        </w:rPr>
      </w:pPr>
      <w:r w:rsidRPr="00093A9A">
        <w:rPr>
          <w:b/>
          <w:color w:val="E76F35"/>
          <w:sz w:val="24"/>
          <w:szCs w:val="20"/>
        </w:rPr>
        <w:t>We recommend amendments</w:t>
      </w:r>
      <w:r w:rsidRPr="00093A9A">
        <w:rPr>
          <w:b/>
          <w:color w:val="E76F35"/>
          <w:sz w:val="24"/>
          <w:szCs w:val="20"/>
        </w:rPr>
        <w:t>:</w:t>
      </w:r>
      <w:r w:rsidRPr="00093A9A">
        <w:rPr>
          <w:rFonts w:eastAsia="Arial"/>
          <w:sz w:val="24"/>
          <w:szCs w:val="28"/>
        </w:rPr>
        <w:t xml:space="preserve"> </w:t>
      </w:r>
    </w:p>
    <w:p w14:paraId="7EEC8289" w14:textId="77777777" w:rsidR="00CD08D1" w:rsidRDefault="00CD08D1" w:rsidP="00CD08D1">
      <w:pPr>
        <w:spacing w:line="278" w:lineRule="auto"/>
        <w:contextualSpacing/>
        <w:rPr>
          <w:rFonts w:eastAsia="Arial"/>
          <w:sz w:val="24"/>
          <w:szCs w:val="28"/>
        </w:rPr>
      </w:pPr>
    </w:p>
    <w:p w14:paraId="331333D3" w14:textId="295842B7" w:rsidR="00CD08D1" w:rsidRPr="00093A9A" w:rsidRDefault="005B128F" w:rsidP="005B128F">
      <w:pPr>
        <w:spacing w:before="240" w:after="240"/>
        <w:rPr>
          <w:color w:val="355585"/>
          <w:sz w:val="24"/>
          <w:szCs w:val="12"/>
        </w:rPr>
      </w:pPr>
      <w:r w:rsidRPr="00093A9A">
        <w:rPr>
          <w:color w:val="355585"/>
          <w:sz w:val="24"/>
          <w:szCs w:val="12"/>
        </w:rPr>
        <w:t>The NRP-R</w:t>
      </w:r>
    </w:p>
    <w:p w14:paraId="02B7F4A1" w14:textId="77777777" w:rsidR="00CD08D1" w:rsidRPr="00CD08D1" w:rsidRDefault="00CD08D1" w:rsidP="00CD08D1">
      <w:pPr>
        <w:contextualSpacing/>
        <w:rPr>
          <w:rFonts w:eastAsia="Arial"/>
          <w:sz w:val="24"/>
          <w:szCs w:val="28"/>
        </w:rPr>
      </w:pPr>
      <w:r w:rsidRPr="00CD08D1">
        <w:rPr>
          <w:rFonts w:eastAsia="Arial"/>
          <w:sz w:val="24"/>
          <w:szCs w:val="28"/>
        </w:rPr>
        <w:t>The National and Regional Partnership Plans should make an active contribution to the implementation of the adopted legislation, especially the UN CRPD.</w:t>
      </w:r>
    </w:p>
    <w:p w14:paraId="66308932" w14:textId="77777777" w:rsidR="00CD08D1" w:rsidRPr="00CD08D1" w:rsidRDefault="00CD08D1" w:rsidP="00CD08D1">
      <w:pPr>
        <w:contextualSpacing/>
        <w:rPr>
          <w:rFonts w:eastAsia="Arial"/>
          <w:sz w:val="24"/>
          <w:szCs w:val="28"/>
        </w:rPr>
      </w:pPr>
    </w:p>
    <w:p w14:paraId="6F0C32A8" w14:textId="77777777" w:rsidR="00CD08D1" w:rsidRPr="00CD08D1" w:rsidRDefault="00CD08D1" w:rsidP="00CD08D1">
      <w:pPr>
        <w:contextualSpacing/>
        <w:rPr>
          <w:rFonts w:eastAsia="Arial"/>
          <w:sz w:val="24"/>
          <w:szCs w:val="28"/>
        </w:rPr>
      </w:pPr>
      <w:r w:rsidRPr="00CD08D1">
        <w:rPr>
          <w:rFonts w:eastAsia="Arial"/>
          <w:sz w:val="24"/>
          <w:szCs w:val="28"/>
        </w:rPr>
        <w:t>We recommend for example:</w:t>
      </w:r>
    </w:p>
    <w:p w14:paraId="420052AA" w14:textId="77777777" w:rsidR="00CD08D1" w:rsidRPr="00CD08D1" w:rsidRDefault="00CD08D1">
      <w:pPr>
        <w:pStyle w:val="Listenabsatz"/>
        <w:numPr>
          <w:ilvl w:val="0"/>
          <w:numId w:val="2"/>
        </w:numPr>
        <w:spacing w:after="160" w:line="276" w:lineRule="auto"/>
        <w:rPr>
          <w:b/>
          <w:bCs/>
          <w:sz w:val="24"/>
          <w:szCs w:val="28"/>
        </w:rPr>
      </w:pPr>
      <w:r w:rsidRPr="00CD08D1">
        <w:rPr>
          <w:rFonts w:eastAsia="Arial"/>
          <w:sz w:val="24"/>
          <w:szCs w:val="28"/>
        </w:rPr>
        <w:t xml:space="preserve">Amending Article 7(1)(c new) on Horizontal principles stating that “Member States shall design the NRP Plan … in a way that ensures respect of … </w:t>
      </w:r>
      <w:r w:rsidRPr="00CD08D1">
        <w:rPr>
          <w:sz w:val="24"/>
          <w:szCs w:val="28"/>
        </w:rPr>
        <w:t xml:space="preserve">(c new) </w:t>
      </w:r>
      <w:r w:rsidRPr="00CD08D1">
        <w:rPr>
          <w:b/>
          <w:bCs/>
          <w:i/>
          <w:iCs/>
          <w:sz w:val="24"/>
          <w:szCs w:val="28"/>
        </w:rPr>
        <w:t xml:space="preserve">the norms and principles set out in the United Nations Convention on the Rights of Persons with Disabilities and </w:t>
      </w:r>
      <w:r w:rsidRPr="00CD08D1">
        <w:rPr>
          <w:b/>
          <w:bCs/>
          <w:i/>
          <w:iCs/>
          <w:sz w:val="24"/>
          <w:szCs w:val="28"/>
        </w:rPr>
        <w:lastRenderedPageBreak/>
        <w:t>the authoritative documents issued by the UN Committee on the Rights of Persons with Disabilities</w:t>
      </w:r>
      <w:r w:rsidRPr="00CD08D1">
        <w:rPr>
          <w:sz w:val="24"/>
          <w:szCs w:val="28"/>
        </w:rPr>
        <w:t>”.</w:t>
      </w:r>
    </w:p>
    <w:p w14:paraId="21701282" w14:textId="77777777" w:rsidR="00CD08D1" w:rsidRPr="00CD08D1" w:rsidRDefault="00CD08D1" w:rsidP="00CD08D1">
      <w:pPr>
        <w:pStyle w:val="Listenabsatz"/>
        <w:spacing w:line="276" w:lineRule="auto"/>
        <w:rPr>
          <w:b/>
          <w:bCs/>
          <w:sz w:val="24"/>
          <w:szCs w:val="28"/>
        </w:rPr>
      </w:pPr>
    </w:p>
    <w:p w14:paraId="6382DB64" w14:textId="77777777" w:rsidR="00CD08D1" w:rsidRPr="00CD08D1" w:rsidRDefault="00CD08D1">
      <w:pPr>
        <w:pStyle w:val="Listenabsatz"/>
        <w:numPr>
          <w:ilvl w:val="0"/>
          <w:numId w:val="2"/>
        </w:numPr>
        <w:spacing w:after="160" w:line="279" w:lineRule="auto"/>
        <w:rPr>
          <w:rFonts w:eastAsia="Arial"/>
          <w:sz w:val="24"/>
          <w:szCs w:val="28"/>
        </w:rPr>
      </w:pPr>
      <w:r w:rsidRPr="00CD08D1">
        <w:rPr>
          <w:rFonts w:eastAsia="Arial"/>
          <w:sz w:val="24"/>
          <w:szCs w:val="28"/>
        </w:rPr>
        <w:t xml:space="preserve">Amending Article 8(1)(1a new) on Respect for the Charter of Fundamental Rights stating that “Member States shall put in place and maintain effective mechanisms to ensure compliance … with the relevant provisions of the Charter of Fundamental Rights </w:t>
      </w:r>
      <w:r w:rsidRPr="00CD08D1">
        <w:rPr>
          <w:rFonts w:eastAsia="Arial"/>
          <w:b/>
          <w:bCs/>
          <w:i/>
          <w:iCs/>
          <w:sz w:val="24"/>
          <w:szCs w:val="28"/>
        </w:rPr>
        <w:t>and of the United Nations Convention on the Rights of Persons with Disabilities and authoritative documents issued by the UN Committee on the Rights of Persons with Disabilities</w:t>
      </w:r>
      <w:r w:rsidRPr="00CD08D1">
        <w:rPr>
          <w:rFonts w:eastAsia="Arial"/>
          <w:sz w:val="24"/>
          <w:szCs w:val="28"/>
        </w:rPr>
        <w:t>”.</w:t>
      </w:r>
    </w:p>
    <w:p w14:paraId="2E278730" w14:textId="77777777" w:rsidR="00CD08D1" w:rsidRPr="00CD08D1" w:rsidRDefault="00CD08D1" w:rsidP="00CD08D1">
      <w:pPr>
        <w:pStyle w:val="Listenabsatz"/>
        <w:rPr>
          <w:rFonts w:eastAsia="Arial"/>
          <w:sz w:val="24"/>
          <w:szCs w:val="28"/>
        </w:rPr>
      </w:pPr>
    </w:p>
    <w:p w14:paraId="3D79F994" w14:textId="77777777" w:rsidR="00CD08D1" w:rsidRPr="00CD08D1" w:rsidRDefault="00CD08D1">
      <w:pPr>
        <w:pStyle w:val="Listenabsatz"/>
        <w:numPr>
          <w:ilvl w:val="0"/>
          <w:numId w:val="2"/>
        </w:numPr>
        <w:spacing w:after="160" w:line="279" w:lineRule="auto"/>
        <w:rPr>
          <w:rFonts w:eastAsia="Arial"/>
          <w:sz w:val="24"/>
          <w:szCs w:val="28"/>
        </w:rPr>
      </w:pPr>
      <w:r w:rsidRPr="00CD08D1">
        <w:rPr>
          <w:rFonts w:eastAsia="Arial"/>
          <w:sz w:val="24"/>
          <w:szCs w:val="28"/>
        </w:rPr>
        <w:t xml:space="preserve">Amending article 10(5) on Budget by 1. Increasing the envelope for spending on the Union`s social objectives from 14% to 25%, 2. Adding that this spending is also available for “equal treatment and fundamental rights objectives” and that </w:t>
      </w:r>
      <w:r w:rsidRPr="00CD08D1">
        <w:rPr>
          <w:rFonts w:eastAsia="Arial"/>
          <w:b/>
          <w:bCs/>
          <w:sz w:val="24"/>
          <w:szCs w:val="28"/>
          <w:u w:val="single"/>
        </w:rPr>
        <w:t>“At least 10% of the Unions’ social spending shall be dedicated to the implementation of the UN CRPD in the EU.”</w:t>
      </w:r>
    </w:p>
    <w:p w14:paraId="50AED941" w14:textId="77777777" w:rsidR="005B128F" w:rsidRDefault="005B128F" w:rsidP="004B48A1">
      <w:pPr>
        <w:spacing w:before="240" w:after="240"/>
        <w:ind w:left="0" w:firstLine="0"/>
        <w:rPr>
          <w:color w:val="355585"/>
          <w:sz w:val="28"/>
          <w:szCs w:val="14"/>
        </w:rPr>
      </w:pPr>
    </w:p>
    <w:p w14:paraId="0B688500" w14:textId="691C8583" w:rsidR="00CD08D1" w:rsidRPr="00093A9A" w:rsidRDefault="005B128F" w:rsidP="005B128F">
      <w:pPr>
        <w:contextualSpacing/>
        <w:rPr>
          <w:color w:val="355585"/>
          <w:sz w:val="24"/>
          <w:szCs w:val="12"/>
        </w:rPr>
      </w:pPr>
      <w:r w:rsidRPr="00093A9A">
        <w:rPr>
          <w:color w:val="355585"/>
          <w:sz w:val="24"/>
          <w:szCs w:val="12"/>
        </w:rPr>
        <w:t xml:space="preserve">The Budgetary Tracking and Performance Framework </w:t>
      </w:r>
    </w:p>
    <w:p w14:paraId="2C502554" w14:textId="77777777" w:rsidR="00CD08D1" w:rsidRPr="00CD08D1" w:rsidRDefault="00CD08D1" w:rsidP="00CD08D1">
      <w:pPr>
        <w:spacing w:line="278" w:lineRule="auto"/>
        <w:contextualSpacing/>
        <w:rPr>
          <w:rFonts w:eastAsia="Arial"/>
          <w:b/>
          <w:bCs/>
          <w:sz w:val="24"/>
          <w:szCs w:val="28"/>
        </w:rPr>
      </w:pPr>
    </w:p>
    <w:p w14:paraId="19B4D957" w14:textId="77777777" w:rsidR="00CD08D1" w:rsidRPr="00CD08D1" w:rsidRDefault="00CD08D1" w:rsidP="00CD08D1">
      <w:pPr>
        <w:spacing w:line="278" w:lineRule="auto"/>
        <w:contextualSpacing/>
        <w:rPr>
          <w:rFonts w:eastAsia="Arial"/>
          <w:sz w:val="24"/>
          <w:szCs w:val="28"/>
        </w:rPr>
      </w:pPr>
      <w:r w:rsidRPr="00CD08D1">
        <w:rPr>
          <w:rFonts w:eastAsia="Arial"/>
          <w:sz w:val="24"/>
          <w:szCs w:val="28"/>
        </w:rPr>
        <w:t xml:space="preserve">EU disability policy is suffering from an insufficient evidence base. We recommend initiating regular data collection for example on: </w:t>
      </w:r>
    </w:p>
    <w:p w14:paraId="4A029F91" w14:textId="77777777" w:rsidR="00CD08D1" w:rsidRPr="00CD08D1" w:rsidRDefault="00CD08D1" w:rsidP="00CD08D1">
      <w:pPr>
        <w:contextualSpacing/>
        <w:rPr>
          <w:rFonts w:eastAsia="Arial"/>
          <w:sz w:val="24"/>
          <w:szCs w:val="28"/>
        </w:rPr>
      </w:pPr>
    </w:p>
    <w:p w14:paraId="61B06A05" w14:textId="77777777" w:rsidR="00CD08D1" w:rsidRPr="00CD08D1" w:rsidRDefault="00CD08D1">
      <w:pPr>
        <w:pStyle w:val="Listenabsatz"/>
        <w:numPr>
          <w:ilvl w:val="0"/>
          <w:numId w:val="3"/>
        </w:numPr>
        <w:spacing w:after="160" w:line="279" w:lineRule="auto"/>
        <w:rPr>
          <w:rFonts w:eastAsia="Arial"/>
          <w:sz w:val="24"/>
          <w:szCs w:val="28"/>
        </w:rPr>
      </w:pPr>
      <w:r w:rsidRPr="00CD08D1">
        <w:rPr>
          <w:rFonts w:eastAsia="Arial"/>
          <w:sz w:val="24"/>
          <w:szCs w:val="28"/>
        </w:rPr>
        <w:t>The amount of EU Funds going into institutions and the number of people in institutions</w:t>
      </w:r>
    </w:p>
    <w:p w14:paraId="47E034AE" w14:textId="77777777" w:rsidR="00CD08D1" w:rsidRPr="00CD08D1" w:rsidRDefault="00CD08D1" w:rsidP="00CD08D1">
      <w:pPr>
        <w:pStyle w:val="Listenabsatz"/>
        <w:rPr>
          <w:rFonts w:eastAsia="Arial"/>
          <w:sz w:val="24"/>
          <w:szCs w:val="28"/>
        </w:rPr>
      </w:pPr>
    </w:p>
    <w:p w14:paraId="7F51E281" w14:textId="77777777" w:rsidR="00CD08D1" w:rsidRPr="00CD08D1" w:rsidRDefault="00CD08D1">
      <w:pPr>
        <w:pStyle w:val="Listenabsatz"/>
        <w:numPr>
          <w:ilvl w:val="0"/>
          <w:numId w:val="3"/>
        </w:numPr>
        <w:spacing w:after="160" w:line="279" w:lineRule="auto"/>
        <w:rPr>
          <w:rFonts w:eastAsia="Arial"/>
          <w:sz w:val="24"/>
          <w:szCs w:val="28"/>
        </w:rPr>
      </w:pPr>
      <w:r w:rsidRPr="00CD08D1">
        <w:rPr>
          <w:rFonts w:eastAsia="Arial"/>
          <w:sz w:val="24"/>
          <w:szCs w:val="28"/>
        </w:rPr>
        <w:t xml:space="preserve">The amount of EU Funds going into personal assistance, personal budgets and Centres for Independent Living and the </w:t>
      </w:r>
      <w:proofErr w:type="gramStart"/>
      <w:r w:rsidRPr="00CD08D1">
        <w:rPr>
          <w:rFonts w:eastAsia="Arial"/>
          <w:sz w:val="24"/>
          <w:szCs w:val="28"/>
        </w:rPr>
        <w:t>amount</w:t>
      </w:r>
      <w:proofErr w:type="gramEnd"/>
      <w:r w:rsidRPr="00CD08D1">
        <w:rPr>
          <w:rFonts w:eastAsia="Arial"/>
          <w:sz w:val="24"/>
          <w:szCs w:val="28"/>
        </w:rPr>
        <w:t xml:space="preserve"> of users of these services </w:t>
      </w:r>
    </w:p>
    <w:p w14:paraId="036B7344" w14:textId="77777777" w:rsidR="00CD08D1" w:rsidRPr="00CD08D1" w:rsidRDefault="00CD08D1" w:rsidP="00CD08D1">
      <w:pPr>
        <w:pStyle w:val="Listenabsatz"/>
        <w:rPr>
          <w:rFonts w:eastAsia="Arial"/>
          <w:sz w:val="24"/>
          <w:szCs w:val="28"/>
        </w:rPr>
      </w:pPr>
    </w:p>
    <w:p w14:paraId="4C31A9AE" w14:textId="77777777" w:rsidR="00CD08D1" w:rsidRPr="00CD08D1" w:rsidRDefault="00CD08D1">
      <w:pPr>
        <w:pStyle w:val="Listenabsatz"/>
        <w:numPr>
          <w:ilvl w:val="0"/>
          <w:numId w:val="3"/>
        </w:numPr>
        <w:spacing w:after="160" w:line="279" w:lineRule="auto"/>
        <w:rPr>
          <w:rFonts w:eastAsia="Arial"/>
          <w:sz w:val="24"/>
          <w:szCs w:val="28"/>
        </w:rPr>
      </w:pPr>
      <w:r w:rsidRPr="00CD08D1">
        <w:rPr>
          <w:sz w:val="24"/>
          <w:szCs w:val="28"/>
        </w:rPr>
        <w:t>The amount of EU Funds going into housing that is affordable and accessible for persons with disabilities and the amount of people benefiting from affordable and accessible housing</w:t>
      </w:r>
    </w:p>
    <w:p w14:paraId="284757F9" w14:textId="77777777" w:rsidR="00CD08D1" w:rsidRPr="00CD08D1" w:rsidRDefault="00CD08D1" w:rsidP="00CD08D1">
      <w:pPr>
        <w:pStyle w:val="Listenabsatz"/>
        <w:rPr>
          <w:rFonts w:eastAsia="Arial"/>
          <w:sz w:val="24"/>
          <w:szCs w:val="28"/>
        </w:rPr>
      </w:pPr>
    </w:p>
    <w:p w14:paraId="5406A42D" w14:textId="77777777" w:rsidR="00CD08D1" w:rsidRPr="00CD08D1" w:rsidRDefault="00CD08D1">
      <w:pPr>
        <w:pStyle w:val="Listenabsatz"/>
        <w:numPr>
          <w:ilvl w:val="0"/>
          <w:numId w:val="3"/>
        </w:numPr>
        <w:spacing w:after="160" w:line="276" w:lineRule="auto"/>
        <w:jc w:val="left"/>
        <w:rPr>
          <w:sz w:val="24"/>
          <w:szCs w:val="28"/>
        </w:rPr>
      </w:pPr>
      <w:r w:rsidRPr="00CD08D1">
        <w:rPr>
          <w:sz w:val="24"/>
          <w:szCs w:val="28"/>
        </w:rPr>
        <w:t xml:space="preserve">The amount of EU Funds going into supported employment and the amount of people benefiting from such measures </w:t>
      </w:r>
    </w:p>
    <w:p w14:paraId="63224476" w14:textId="77777777" w:rsidR="00CD08D1" w:rsidRDefault="00CD08D1" w:rsidP="00CD08D1">
      <w:pPr>
        <w:pStyle w:val="Listenabsatz"/>
        <w:spacing w:after="160" w:line="276" w:lineRule="auto"/>
        <w:ind w:firstLine="0"/>
        <w:jc w:val="left"/>
        <w:rPr>
          <w:sz w:val="24"/>
          <w:szCs w:val="28"/>
        </w:rPr>
      </w:pPr>
    </w:p>
    <w:p w14:paraId="7EE2C515" w14:textId="3A25E8C8" w:rsidR="00093A9A" w:rsidRPr="00093A9A" w:rsidRDefault="004B48A1" w:rsidP="00093A9A">
      <w:pPr>
        <w:spacing w:after="160" w:line="276" w:lineRule="auto"/>
        <w:jc w:val="left"/>
        <w:rPr>
          <w:color w:val="355585"/>
          <w:sz w:val="24"/>
          <w:szCs w:val="12"/>
        </w:rPr>
      </w:pPr>
      <w:r w:rsidRPr="00093A9A">
        <w:rPr>
          <w:color w:val="355585"/>
          <w:sz w:val="24"/>
          <w:szCs w:val="12"/>
        </w:rPr>
        <w:t>The Global Europe programme</w:t>
      </w:r>
    </w:p>
    <w:p w14:paraId="4053FC76" w14:textId="77777777" w:rsidR="00CD08D1" w:rsidRPr="00CD08D1" w:rsidRDefault="00CD08D1" w:rsidP="00CD08D1">
      <w:pPr>
        <w:rPr>
          <w:rFonts w:eastAsia="Arial"/>
          <w:sz w:val="24"/>
          <w:szCs w:val="28"/>
        </w:rPr>
      </w:pPr>
      <w:r w:rsidRPr="00CD08D1">
        <w:rPr>
          <w:rFonts w:eastAsia="Arial"/>
          <w:sz w:val="24"/>
          <w:szCs w:val="28"/>
        </w:rPr>
        <w:t xml:space="preserve">We recommend for example: </w:t>
      </w:r>
    </w:p>
    <w:p w14:paraId="71091CA5" w14:textId="77777777" w:rsidR="00CD08D1" w:rsidRPr="00CD08D1" w:rsidRDefault="00CD08D1">
      <w:pPr>
        <w:pStyle w:val="Listenabsatz"/>
        <w:numPr>
          <w:ilvl w:val="0"/>
          <w:numId w:val="2"/>
        </w:numPr>
        <w:spacing w:after="160" w:line="276" w:lineRule="auto"/>
        <w:rPr>
          <w:sz w:val="24"/>
          <w:szCs w:val="28"/>
        </w:rPr>
      </w:pPr>
      <w:r w:rsidRPr="00CD08D1">
        <w:rPr>
          <w:rFonts w:eastAsia="Arial"/>
          <w:sz w:val="24"/>
          <w:szCs w:val="28"/>
        </w:rPr>
        <w:t xml:space="preserve">Amend article 4, 1b “Objectives of the instrument” and include the United Nations Convention on the Rights of Persons with Disabilities (UN CRPD). </w:t>
      </w:r>
      <w:r w:rsidRPr="00CD08D1">
        <w:rPr>
          <w:sz w:val="24"/>
          <w:szCs w:val="28"/>
        </w:rPr>
        <w:t xml:space="preserve">Article 4, 1b states that </w:t>
      </w:r>
      <w:r w:rsidRPr="00CD08D1">
        <w:rPr>
          <w:sz w:val="24"/>
          <w:szCs w:val="28"/>
        </w:rPr>
        <w:lastRenderedPageBreak/>
        <w:t xml:space="preserve">Global Europe should contribute to the promotion of multilateralism and lists various international agreements the EU has concluded and whose implementation the programme should support. The UN CRPD is not listed. That is a missed opportunity which should be corrected. </w:t>
      </w:r>
    </w:p>
    <w:p w14:paraId="059CE7B9" w14:textId="77777777" w:rsidR="00CD08D1" w:rsidRPr="00CD08D1" w:rsidRDefault="00CD08D1" w:rsidP="00CD08D1">
      <w:pPr>
        <w:pStyle w:val="Listenabsatz"/>
        <w:spacing w:line="276" w:lineRule="auto"/>
        <w:rPr>
          <w:sz w:val="24"/>
          <w:szCs w:val="28"/>
        </w:rPr>
      </w:pPr>
    </w:p>
    <w:p w14:paraId="6F724865" w14:textId="77777777" w:rsidR="00CD08D1" w:rsidRPr="00CD08D1" w:rsidRDefault="00CD08D1">
      <w:pPr>
        <w:pStyle w:val="Listenabsatz"/>
        <w:numPr>
          <w:ilvl w:val="0"/>
          <w:numId w:val="2"/>
        </w:numPr>
        <w:spacing w:after="160" w:line="279" w:lineRule="auto"/>
        <w:rPr>
          <w:rFonts w:eastAsia="Arial"/>
          <w:sz w:val="24"/>
          <w:szCs w:val="28"/>
        </w:rPr>
      </w:pPr>
      <w:r w:rsidRPr="00CD08D1">
        <w:rPr>
          <w:rFonts w:eastAsia="Arial"/>
          <w:sz w:val="24"/>
          <w:szCs w:val="28"/>
        </w:rPr>
        <w:t>Amend Article 9 (4) “General Principles” and list “equal treatment and social inclusion”, “Independent Living”, “personal assistance” and “deinstitutionalisation” as actions to be promoted</w:t>
      </w:r>
    </w:p>
    <w:p w14:paraId="0E5040A2" w14:textId="77777777" w:rsidR="00CD08D1" w:rsidRPr="00CD08D1" w:rsidRDefault="00CD08D1" w:rsidP="00CD08D1">
      <w:pPr>
        <w:pStyle w:val="Listenabsatz"/>
        <w:rPr>
          <w:rFonts w:eastAsia="Arial"/>
          <w:sz w:val="24"/>
          <w:szCs w:val="28"/>
        </w:rPr>
      </w:pPr>
    </w:p>
    <w:p w14:paraId="37CC36BB" w14:textId="77777777" w:rsidR="00CD08D1" w:rsidRPr="00CD08D1" w:rsidRDefault="00CD08D1">
      <w:pPr>
        <w:pStyle w:val="Listenabsatz"/>
        <w:numPr>
          <w:ilvl w:val="0"/>
          <w:numId w:val="2"/>
        </w:numPr>
        <w:spacing w:after="160" w:line="279" w:lineRule="auto"/>
        <w:rPr>
          <w:rFonts w:eastAsia="Arial"/>
          <w:sz w:val="24"/>
          <w:szCs w:val="28"/>
        </w:rPr>
      </w:pPr>
      <w:r w:rsidRPr="00CD08D1">
        <w:rPr>
          <w:rFonts w:eastAsia="Arial"/>
          <w:sz w:val="24"/>
          <w:szCs w:val="28"/>
        </w:rPr>
        <w:t xml:space="preserve">Amend articles 9 - General Principles - 5 and 6 by stating that “the instrument shall promote gender equality and girls` and women´s empowerment </w:t>
      </w:r>
      <w:r w:rsidRPr="00CD08D1">
        <w:rPr>
          <w:rFonts w:eastAsia="Arial"/>
          <w:b/>
          <w:bCs/>
          <w:i/>
          <w:iCs/>
          <w:sz w:val="24"/>
          <w:szCs w:val="28"/>
        </w:rPr>
        <w:t>with a particular focus on the equal treatment of women with disabilities</w:t>
      </w:r>
      <w:r w:rsidRPr="00CD08D1">
        <w:rPr>
          <w:rFonts w:eastAsia="Arial"/>
          <w:sz w:val="24"/>
          <w:szCs w:val="28"/>
        </w:rPr>
        <w:t xml:space="preserve">” </w:t>
      </w:r>
    </w:p>
    <w:p w14:paraId="56E016DB" w14:textId="77777777" w:rsidR="001E6529" w:rsidRDefault="001E6529" w:rsidP="001E6529">
      <w:pPr>
        <w:pStyle w:val="Listenabsatz"/>
        <w:spacing w:line="276" w:lineRule="auto"/>
        <w:ind w:firstLine="0"/>
        <w:rPr>
          <w:sz w:val="28"/>
          <w:szCs w:val="28"/>
        </w:rPr>
      </w:pPr>
    </w:p>
    <w:p w14:paraId="4648E163" w14:textId="77777777" w:rsidR="00CD08D1" w:rsidRDefault="00CD08D1" w:rsidP="001E6529">
      <w:pPr>
        <w:pStyle w:val="Listenabsatz"/>
        <w:spacing w:line="276" w:lineRule="auto"/>
        <w:ind w:firstLine="0"/>
        <w:rPr>
          <w:sz w:val="28"/>
          <w:szCs w:val="28"/>
        </w:rPr>
      </w:pPr>
    </w:p>
    <w:p w14:paraId="31C8C855" w14:textId="649D5F72" w:rsidR="00C94B9A" w:rsidRPr="004B48A1" w:rsidRDefault="004B48A1" w:rsidP="004B48A1">
      <w:pPr>
        <w:spacing w:after="160" w:line="278" w:lineRule="auto"/>
        <w:ind w:left="0" w:firstLine="0"/>
        <w:jc w:val="left"/>
        <w:rPr>
          <w:sz w:val="28"/>
          <w:szCs w:val="28"/>
        </w:rPr>
      </w:pPr>
      <w:r>
        <w:rPr>
          <w:sz w:val="28"/>
          <w:szCs w:val="28"/>
        </w:rPr>
        <w:br w:type="page"/>
      </w:r>
    </w:p>
    <w:p w14:paraId="1A3F2D8A" w14:textId="77777777" w:rsidR="00B1324B" w:rsidRDefault="00B1324B" w:rsidP="001E6529">
      <w:pPr>
        <w:spacing w:after="0" w:line="276" w:lineRule="auto"/>
        <w:jc w:val="left"/>
        <w:rPr>
          <w:color w:val="355585"/>
          <w:sz w:val="28"/>
          <w:szCs w:val="14"/>
        </w:rPr>
      </w:pPr>
      <w:r w:rsidRPr="00B1324B">
        <w:rPr>
          <w:color w:val="355585"/>
          <w:sz w:val="28"/>
          <w:szCs w:val="14"/>
        </w:rPr>
        <w:lastRenderedPageBreak/>
        <w:t>3. Reforming EU state aid legislation to boost supported employment</w:t>
      </w:r>
    </w:p>
    <w:p w14:paraId="41BC5375" w14:textId="77777777" w:rsidR="00B1324B" w:rsidRDefault="00B1324B" w:rsidP="001E6529">
      <w:pPr>
        <w:spacing w:after="0" w:line="276" w:lineRule="auto"/>
        <w:jc w:val="left"/>
        <w:rPr>
          <w:color w:val="355585"/>
          <w:sz w:val="28"/>
          <w:szCs w:val="14"/>
        </w:rPr>
      </w:pPr>
    </w:p>
    <w:p w14:paraId="4B25F46E" w14:textId="77777777" w:rsidR="00BE79EA" w:rsidRPr="00BE79EA" w:rsidRDefault="00BE79EA" w:rsidP="00BE79EA">
      <w:pPr>
        <w:spacing w:after="0" w:line="276" w:lineRule="auto"/>
        <w:jc w:val="left"/>
        <w:rPr>
          <w:sz w:val="24"/>
        </w:rPr>
      </w:pPr>
      <w:r w:rsidRPr="00BE79EA">
        <w:rPr>
          <w:sz w:val="24"/>
        </w:rPr>
        <w:t>According to the 2025 European Commission study on alternative employment models for persons with disabilities, supported employment has outstanding success rates when it comes to integrating disabled people into work in the regular labour market. Some programmes succeed in integrating up to 65% of participants into employment.</w:t>
      </w:r>
      <w:r w:rsidRPr="00BE79EA">
        <w:rPr>
          <w:sz w:val="24"/>
          <w:vertAlign w:val="superscript"/>
        </w:rPr>
        <w:footnoteReference w:id="8"/>
      </w:r>
    </w:p>
    <w:p w14:paraId="1006D27E" w14:textId="77777777" w:rsidR="004B48A1" w:rsidRDefault="004B48A1" w:rsidP="004B48A1">
      <w:pPr>
        <w:spacing w:after="0" w:line="276" w:lineRule="auto"/>
        <w:ind w:left="0" w:firstLine="0"/>
        <w:jc w:val="left"/>
        <w:rPr>
          <w:sz w:val="24"/>
        </w:rPr>
      </w:pPr>
    </w:p>
    <w:p w14:paraId="3302739C" w14:textId="77777777" w:rsidR="004B48A1" w:rsidRDefault="004B48A1" w:rsidP="004B48A1">
      <w:pPr>
        <w:spacing w:after="0" w:line="276" w:lineRule="auto"/>
        <w:ind w:left="0" w:firstLine="0"/>
        <w:jc w:val="left"/>
        <w:rPr>
          <w:sz w:val="24"/>
        </w:rPr>
      </w:pPr>
    </w:p>
    <w:p w14:paraId="08FF7B24" w14:textId="7C0B9F31" w:rsidR="005B128F" w:rsidRPr="004B48A1" w:rsidRDefault="004B48A1" w:rsidP="004B48A1">
      <w:pPr>
        <w:spacing w:after="0" w:line="276" w:lineRule="auto"/>
        <w:jc w:val="left"/>
        <w:rPr>
          <w:color w:val="355585"/>
          <w:sz w:val="28"/>
          <w:szCs w:val="14"/>
        </w:rPr>
      </w:pPr>
      <w:r w:rsidRPr="004B48A1">
        <w:rPr>
          <w:color w:val="355585"/>
          <w:sz w:val="28"/>
          <w:szCs w:val="14"/>
        </w:rPr>
        <w:t xml:space="preserve">Defining supported employment </w:t>
      </w:r>
    </w:p>
    <w:p w14:paraId="32F21BA0" w14:textId="77777777" w:rsidR="00BE79EA" w:rsidRPr="00BE79EA" w:rsidRDefault="00BE79EA" w:rsidP="00BE79EA">
      <w:pPr>
        <w:spacing w:after="0" w:line="276" w:lineRule="auto"/>
        <w:jc w:val="left"/>
        <w:rPr>
          <w:sz w:val="24"/>
        </w:rPr>
      </w:pPr>
    </w:p>
    <w:p w14:paraId="0D1AA9DC" w14:textId="77777777" w:rsidR="00BE79EA" w:rsidRPr="00BE79EA" w:rsidRDefault="00BE79EA" w:rsidP="00BE79EA">
      <w:pPr>
        <w:spacing w:after="0" w:line="276" w:lineRule="auto"/>
        <w:jc w:val="left"/>
        <w:rPr>
          <w:sz w:val="24"/>
        </w:rPr>
      </w:pPr>
      <w:r w:rsidRPr="00BE79EA">
        <w:rPr>
          <w:sz w:val="24"/>
        </w:rPr>
        <w:t xml:space="preserve">General Comment No 8 on the right of persons with disabilities to work and employment, issued by the UN Committee on the rights of persons with disabilities in 2022, states that state parties must take measures to ensure that disabled people can access employment in the open labour market. </w:t>
      </w:r>
    </w:p>
    <w:p w14:paraId="52F32381" w14:textId="77777777" w:rsidR="00BE79EA" w:rsidRPr="00BE79EA" w:rsidRDefault="00BE79EA" w:rsidP="00BE79EA">
      <w:pPr>
        <w:spacing w:after="0" w:line="276" w:lineRule="auto"/>
        <w:jc w:val="left"/>
        <w:rPr>
          <w:sz w:val="24"/>
        </w:rPr>
      </w:pPr>
    </w:p>
    <w:p w14:paraId="54A5E9BF" w14:textId="77777777" w:rsidR="00BE79EA" w:rsidRPr="00BE79EA" w:rsidRDefault="00BE79EA" w:rsidP="00BE79EA">
      <w:pPr>
        <w:spacing w:after="0" w:line="276" w:lineRule="auto"/>
        <w:jc w:val="left"/>
        <w:rPr>
          <w:sz w:val="24"/>
        </w:rPr>
      </w:pPr>
      <w:r w:rsidRPr="00BE79EA">
        <w:rPr>
          <w:sz w:val="24"/>
        </w:rPr>
        <w:t xml:space="preserve">According to </w:t>
      </w:r>
      <w:proofErr w:type="spellStart"/>
      <w:r w:rsidRPr="00BE79EA">
        <w:rPr>
          <w:sz w:val="24"/>
        </w:rPr>
        <w:t>Eurofound</w:t>
      </w:r>
      <w:proofErr w:type="spellEnd"/>
      <w:r w:rsidRPr="00BE79EA">
        <w:rPr>
          <w:sz w:val="24"/>
        </w:rPr>
        <w:t>, supported employment can be defined as “a method of working with groups in disadvantaged situations to enable them to enter and maintain paid employment in the open labour market. Its concept is based on the premise that successful job attainment is achieved when adequate support is given to both the employer and the employee”.</w:t>
      </w:r>
      <w:r w:rsidRPr="00BE79EA">
        <w:rPr>
          <w:sz w:val="24"/>
          <w:vertAlign w:val="superscript"/>
        </w:rPr>
        <w:footnoteReference w:id="9"/>
      </w:r>
    </w:p>
    <w:p w14:paraId="7C053513" w14:textId="77777777" w:rsidR="00BE79EA" w:rsidRDefault="00BE79EA" w:rsidP="00BE79EA">
      <w:pPr>
        <w:spacing w:after="0" w:line="276" w:lineRule="auto"/>
        <w:jc w:val="left"/>
        <w:rPr>
          <w:sz w:val="24"/>
        </w:rPr>
      </w:pPr>
    </w:p>
    <w:p w14:paraId="64E23F5C" w14:textId="77777777" w:rsidR="004B48A1" w:rsidRDefault="004B48A1" w:rsidP="00BE79EA">
      <w:pPr>
        <w:spacing w:after="0" w:line="276" w:lineRule="auto"/>
        <w:jc w:val="left"/>
        <w:rPr>
          <w:sz w:val="24"/>
        </w:rPr>
      </w:pPr>
    </w:p>
    <w:p w14:paraId="7411E76E" w14:textId="09B69916" w:rsidR="005B128F" w:rsidRPr="004B48A1" w:rsidRDefault="004B48A1" w:rsidP="004B48A1">
      <w:pPr>
        <w:spacing w:after="0" w:line="276" w:lineRule="auto"/>
        <w:jc w:val="left"/>
        <w:rPr>
          <w:color w:val="355585"/>
          <w:sz w:val="28"/>
          <w:szCs w:val="14"/>
        </w:rPr>
      </w:pPr>
      <w:r w:rsidRPr="004B48A1">
        <w:rPr>
          <w:color w:val="355585"/>
          <w:sz w:val="28"/>
          <w:szCs w:val="14"/>
        </w:rPr>
        <w:t xml:space="preserve">The General Block Exemption Regulation </w:t>
      </w:r>
    </w:p>
    <w:p w14:paraId="0E544325" w14:textId="77777777" w:rsidR="00BE79EA" w:rsidRPr="00BE79EA" w:rsidRDefault="00BE79EA" w:rsidP="00BE79EA">
      <w:pPr>
        <w:spacing w:after="0" w:line="276" w:lineRule="auto"/>
        <w:jc w:val="left"/>
        <w:rPr>
          <w:sz w:val="24"/>
        </w:rPr>
      </w:pPr>
    </w:p>
    <w:p w14:paraId="51A09086" w14:textId="77777777" w:rsidR="00BE79EA" w:rsidRPr="00BE79EA" w:rsidRDefault="00BE79EA" w:rsidP="00BE79EA">
      <w:pPr>
        <w:spacing w:after="0" w:line="276" w:lineRule="auto"/>
        <w:jc w:val="left"/>
        <w:rPr>
          <w:sz w:val="24"/>
        </w:rPr>
      </w:pPr>
      <w:r w:rsidRPr="00BE79EA">
        <w:rPr>
          <w:sz w:val="24"/>
        </w:rPr>
        <w:t>The General Block Exemption Regulation (GBER) is one of the cornerstones of the EU legislative acquis on state aid.</w:t>
      </w:r>
      <w:r w:rsidRPr="00BE79EA">
        <w:rPr>
          <w:sz w:val="24"/>
          <w:vertAlign w:val="superscript"/>
        </w:rPr>
        <w:footnoteReference w:id="10"/>
      </w:r>
      <w:r w:rsidRPr="00BE79EA">
        <w:rPr>
          <w:sz w:val="24"/>
        </w:rPr>
        <w:t xml:space="preserve"> The promote public policy objectives, the General Block Exemption Regulation defines and lists specific sectors and activities for which state aid is permitted and which are exempt from notification requirements. </w:t>
      </w:r>
    </w:p>
    <w:p w14:paraId="17D5335B" w14:textId="77777777" w:rsidR="00BE79EA" w:rsidRPr="00BE79EA" w:rsidRDefault="00BE79EA" w:rsidP="00BE79EA">
      <w:pPr>
        <w:spacing w:after="0" w:line="276" w:lineRule="auto"/>
        <w:jc w:val="left"/>
        <w:rPr>
          <w:sz w:val="24"/>
        </w:rPr>
      </w:pPr>
    </w:p>
    <w:p w14:paraId="691FF941" w14:textId="77777777" w:rsidR="00BE79EA" w:rsidRPr="00BE79EA" w:rsidRDefault="00BE79EA" w:rsidP="00BE79EA">
      <w:pPr>
        <w:spacing w:after="0" w:line="276" w:lineRule="auto"/>
        <w:jc w:val="left"/>
        <w:rPr>
          <w:sz w:val="24"/>
        </w:rPr>
      </w:pPr>
      <w:r w:rsidRPr="00BE79EA">
        <w:rPr>
          <w:sz w:val="24"/>
        </w:rPr>
        <w:t xml:space="preserve">The GBER lists measures to support the employment of disabled people which are in line with General Comment No 8 and the definition provided by </w:t>
      </w:r>
      <w:proofErr w:type="spellStart"/>
      <w:r w:rsidRPr="00BE79EA">
        <w:rPr>
          <w:sz w:val="24"/>
        </w:rPr>
        <w:t>Eurofound</w:t>
      </w:r>
      <w:proofErr w:type="spellEnd"/>
      <w:r w:rsidRPr="00BE79EA">
        <w:rPr>
          <w:sz w:val="24"/>
        </w:rPr>
        <w:t xml:space="preserve">: </w:t>
      </w:r>
    </w:p>
    <w:p w14:paraId="0AAA3298" w14:textId="77777777" w:rsidR="00BE79EA" w:rsidRPr="00BE79EA" w:rsidRDefault="00BE79EA">
      <w:pPr>
        <w:numPr>
          <w:ilvl w:val="0"/>
          <w:numId w:val="2"/>
        </w:numPr>
        <w:spacing w:after="0" w:line="276" w:lineRule="auto"/>
        <w:jc w:val="left"/>
        <w:rPr>
          <w:sz w:val="24"/>
        </w:rPr>
      </w:pPr>
      <w:r w:rsidRPr="00BE79EA">
        <w:rPr>
          <w:sz w:val="24"/>
        </w:rPr>
        <w:t xml:space="preserve">Wage subsidies </w:t>
      </w:r>
    </w:p>
    <w:p w14:paraId="3E63ADFC" w14:textId="77777777" w:rsidR="00BE79EA" w:rsidRPr="00BE79EA" w:rsidRDefault="00BE79EA">
      <w:pPr>
        <w:numPr>
          <w:ilvl w:val="0"/>
          <w:numId w:val="2"/>
        </w:numPr>
        <w:spacing w:after="0" w:line="276" w:lineRule="auto"/>
        <w:jc w:val="left"/>
        <w:rPr>
          <w:sz w:val="24"/>
        </w:rPr>
      </w:pPr>
      <w:r w:rsidRPr="00BE79EA">
        <w:rPr>
          <w:sz w:val="24"/>
          <w:lang/>
        </w:rPr>
        <w:t>Personal assistance at work</w:t>
      </w:r>
    </w:p>
    <w:p w14:paraId="1116824D" w14:textId="77777777" w:rsidR="00BE79EA" w:rsidRPr="00BE79EA" w:rsidRDefault="00BE79EA">
      <w:pPr>
        <w:numPr>
          <w:ilvl w:val="0"/>
          <w:numId w:val="2"/>
        </w:numPr>
        <w:spacing w:after="0" w:line="276" w:lineRule="auto"/>
        <w:jc w:val="left"/>
        <w:rPr>
          <w:sz w:val="24"/>
        </w:rPr>
      </w:pPr>
      <w:r w:rsidRPr="00BE79EA">
        <w:rPr>
          <w:sz w:val="24"/>
          <w:lang/>
        </w:rPr>
        <w:lastRenderedPageBreak/>
        <w:t>The Purchase of assistive equipment</w:t>
      </w:r>
    </w:p>
    <w:p w14:paraId="27919113" w14:textId="77777777" w:rsidR="00BE79EA" w:rsidRPr="00BE79EA" w:rsidRDefault="00BE79EA">
      <w:pPr>
        <w:numPr>
          <w:ilvl w:val="0"/>
          <w:numId w:val="2"/>
        </w:numPr>
        <w:spacing w:after="0" w:line="276" w:lineRule="auto"/>
        <w:jc w:val="left"/>
        <w:rPr>
          <w:sz w:val="24"/>
        </w:rPr>
      </w:pPr>
      <w:r w:rsidRPr="00BE79EA">
        <w:rPr>
          <w:sz w:val="24"/>
          <w:lang/>
        </w:rPr>
        <w:t>Modifications of the built environment</w:t>
      </w:r>
    </w:p>
    <w:p w14:paraId="16775C39" w14:textId="77777777" w:rsidR="00BE79EA" w:rsidRPr="00BE79EA" w:rsidRDefault="00BE79EA">
      <w:pPr>
        <w:numPr>
          <w:ilvl w:val="0"/>
          <w:numId w:val="2"/>
        </w:numPr>
        <w:spacing w:after="0" w:line="276" w:lineRule="auto"/>
        <w:jc w:val="left"/>
        <w:rPr>
          <w:sz w:val="24"/>
        </w:rPr>
      </w:pPr>
      <w:r w:rsidRPr="00BE79EA">
        <w:rPr>
          <w:sz w:val="24"/>
          <w:lang/>
        </w:rPr>
        <w:t>Transport</w:t>
      </w:r>
    </w:p>
    <w:p w14:paraId="7C19B3C5" w14:textId="77777777" w:rsidR="00BE79EA" w:rsidRPr="00BE79EA" w:rsidRDefault="00BE79EA">
      <w:pPr>
        <w:numPr>
          <w:ilvl w:val="0"/>
          <w:numId w:val="2"/>
        </w:numPr>
        <w:spacing w:after="0" w:line="276" w:lineRule="auto"/>
        <w:jc w:val="left"/>
        <w:rPr>
          <w:sz w:val="24"/>
        </w:rPr>
      </w:pPr>
      <w:r w:rsidRPr="00BE79EA">
        <w:rPr>
          <w:sz w:val="24"/>
          <w:lang/>
        </w:rPr>
        <w:t>Rehabilitation</w:t>
      </w:r>
    </w:p>
    <w:p w14:paraId="01128E32" w14:textId="77777777" w:rsidR="00BE79EA" w:rsidRDefault="00BE79EA" w:rsidP="00BE79EA">
      <w:pPr>
        <w:spacing w:after="0" w:line="276" w:lineRule="auto"/>
        <w:jc w:val="left"/>
        <w:rPr>
          <w:sz w:val="24"/>
        </w:rPr>
      </w:pPr>
    </w:p>
    <w:p w14:paraId="58DC36BC" w14:textId="79B2969E" w:rsidR="00BE79EA" w:rsidRPr="005B128F" w:rsidRDefault="005B128F" w:rsidP="005B128F">
      <w:pPr>
        <w:spacing w:before="240" w:after="240"/>
        <w:rPr>
          <w:color w:val="355585"/>
          <w:sz w:val="28"/>
          <w:szCs w:val="14"/>
        </w:rPr>
      </w:pPr>
      <w:r>
        <w:rPr>
          <w:color w:val="355585"/>
          <w:sz w:val="28"/>
          <w:szCs w:val="14"/>
        </w:rPr>
        <w:t>The problem of segregated employment</w:t>
      </w:r>
    </w:p>
    <w:p w14:paraId="6E8D2036" w14:textId="77777777" w:rsidR="00BE79EA" w:rsidRPr="00BE79EA" w:rsidRDefault="00BE79EA" w:rsidP="00BE79EA">
      <w:pPr>
        <w:spacing w:after="0" w:line="276" w:lineRule="auto"/>
        <w:jc w:val="left"/>
        <w:rPr>
          <w:sz w:val="24"/>
        </w:rPr>
      </w:pPr>
      <w:r w:rsidRPr="00BE79EA">
        <w:rPr>
          <w:sz w:val="24"/>
        </w:rPr>
        <w:t xml:space="preserve">It also lists a measure which, according to General Comment No 8 has the be regarded as segregated employment and not in line with the UN CRPD: </w:t>
      </w:r>
    </w:p>
    <w:p w14:paraId="3719B68C" w14:textId="77777777" w:rsidR="00BE79EA" w:rsidRPr="00BE79EA" w:rsidRDefault="00BE79EA" w:rsidP="00BE79EA">
      <w:pPr>
        <w:spacing w:after="0" w:line="276" w:lineRule="auto"/>
        <w:jc w:val="left"/>
        <w:rPr>
          <w:sz w:val="24"/>
        </w:rPr>
      </w:pPr>
    </w:p>
    <w:p w14:paraId="707CE74F" w14:textId="77777777" w:rsidR="00BE79EA" w:rsidRPr="00BE79EA" w:rsidRDefault="00BE79EA" w:rsidP="00BE79EA">
      <w:pPr>
        <w:spacing w:after="0" w:line="276" w:lineRule="auto"/>
        <w:jc w:val="left"/>
        <w:rPr>
          <w:b/>
          <w:bCs/>
          <w:i/>
          <w:iCs/>
          <w:sz w:val="24"/>
        </w:rPr>
      </w:pPr>
      <w:r w:rsidRPr="00BE79EA">
        <w:rPr>
          <w:b/>
          <w:bCs/>
          <w:i/>
          <w:iCs/>
          <w:sz w:val="24"/>
        </w:rPr>
        <w:t>“</w:t>
      </w:r>
      <w:proofErr w:type="gramStart"/>
      <w:r w:rsidRPr="00BE79EA">
        <w:rPr>
          <w:b/>
          <w:bCs/>
          <w:i/>
          <w:iCs/>
          <w:sz w:val="24"/>
        </w:rPr>
        <w:t>where</w:t>
      </w:r>
      <w:proofErr w:type="gramEnd"/>
      <w:r w:rsidRPr="00BE79EA">
        <w:rPr>
          <w:b/>
          <w:bCs/>
          <w:i/>
          <w:iCs/>
          <w:sz w:val="24"/>
        </w:rPr>
        <w:t xml:space="preserve"> the beneficiary provides sheltered employment, the costs of constructing, installing or modernising the production units of the undertaking concerned, and any costs of administration and transport, provided that such costs result directly from the employment of workers with disabilities.”</w:t>
      </w:r>
    </w:p>
    <w:p w14:paraId="02C2A25C" w14:textId="77777777" w:rsidR="00BE79EA" w:rsidRPr="00BE79EA" w:rsidRDefault="00BE79EA" w:rsidP="00BE79EA">
      <w:pPr>
        <w:spacing w:after="0" w:line="276" w:lineRule="auto"/>
        <w:jc w:val="left"/>
        <w:rPr>
          <w:sz w:val="24"/>
        </w:rPr>
      </w:pPr>
    </w:p>
    <w:p w14:paraId="7FDB632F" w14:textId="77777777" w:rsidR="00BE79EA" w:rsidRPr="00BE79EA" w:rsidRDefault="00BE79EA" w:rsidP="00BE79EA">
      <w:pPr>
        <w:spacing w:after="0" w:line="276" w:lineRule="auto"/>
        <w:jc w:val="left"/>
        <w:rPr>
          <w:sz w:val="24"/>
        </w:rPr>
      </w:pPr>
      <w:r w:rsidRPr="00BE79EA">
        <w:rPr>
          <w:sz w:val="24"/>
        </w:rPr>
        <w:t>According to the European Commission study on alternative employment models, sheltered employment is highly ineffective in securing transitions into employment in the open labour market. Success rates barely exceed 1%.</w:t>
      </w:r>
      <w:r w:rsidRPr="00BE79EA">
        <w:rPr>
          <w:sz w:val="24"/>
          <w:vertAlign w:val="superscript"/>
        </w:rPr>
        <w:footnoteReference w:id="11"/>
      </w:r>
    </w:p>
    <w:p w14:paraId="1E78F206" w14:textId="77777777" w:rsidR="00BE79EA" w:rsidRPr="00BE79EA" w:rsidRDefault="00BE79EA" w:rsidP="00BE79EA">
      <w:pPr>
        <w:spacing w:after="0" w:line="276" w:lineRule="auto"/>
        <w:jc w:val="left"/>
        <w:rPr>
          <w:sz w:val="24"/>
        </w:rPr>
      </w:pPr>
    </w:p>
    <w:p w14:paraId="20E9829C" w14:textId="77777777" w:rsidR="00BE79EA" w:rsidRPr="00BE79EA" w:rsidRDefault="00BE79EA" w:rsidP="00BE79EA">
      <w:pPr>
        <w:spacing w:after="0" w:line="276" w:lineRule="auto"/>
        <w:jc w:val="left"/>
        <w:rPr>
          <w:sz w:val="24"/>
        </w:rPr>
      </w:pPr>
      <w:r w:rsidRPr="00BE79EA">
        <w:rPr>
          <w:sz w:val="24"/>
        </w:rPr>
        <w:t xml:space="preserve">Despite the available evidence, authorities spend almost the entire budgets earmarked for the labour market integration of disabled people on segregated employment. </w:t>
      </w:r>
    </w:p>
    <w:p w14:paraId="39445784" w14:textId="77777777" w:rsidR="00BE79EA" w:rsidRPr="00BE79EA" w:rsidRDefault="00BE79EA" w:rsidP="00BE79EA">
      <w:pPr>
        <w:spacing w:after="0" w:line="276" w:lineRule="auto"/>
        <w:jc w:val="left"/>
        <w:rPr>
          <w:sz w:val="24"/>
        </w:rPr>
      </w:pPr>
    </w:p>
    <w:p w14:paraId="00D28EDA" w14:textId="7929FA7F" w:rsidR="00BE79EA" w:rsidRPr="00BE79EA" w:rsidRDefault="00BE79EA" w:rsidP="00BE79EA">
      <w:pPr>
        <w:spacing w:after="0" w:line="276" w:lineRule="auto"/>
        <w:jc w:val="left"/>
        <w:rPr>
          <w:sz w:val="24"/>
        </w:rPr>
      </w:pPr>
      <w:r w:rsidRPr="00BE79EA">
        <w:rPr>
          <w:sz w:val="24"/>
        </w:rPr>
        <w:t>The EASPD study “Fostering Employment through Sheltered Workshops: Reality, Trends and Next Steps” concluded: “funds dedicated to supported employment measures targeted towards integration and inclusion in the open labour market remain marginal.” Some countries spend between 96% and 98% of their earmarked budgets on segregated employment.</w:t>
      </w:r>
      <w:r w:rsidRPr="00BE79EA">
        <w:rPr>
          <w:sz w:val="24"/>
          <w:vertAlign w:val="superscript"/>
        </w:rPr>
        <w:footnoteReference w:id="12"/>
      </w:r>
    </w:p>
    <w:p w14:paraId="28BEE17E" w14:textId="77777777" w:rsidR="00BE79EA" w:rsidRPr="00BE79EA" w:rsidRDefault="00BE79EA" w:rsidP="00BE79EA">
      <w:pPr>
        <w:spacing w:after="0" w:line="276" w:lineRule="auto"/>
        <w:jc w:val="left"/>
        <w:rPr>
          <w:sz w:val="24"/>
        </w:rPr>
      </w:pPr>
    </w:p>
    <w:p w14:paraId="403B6B3D" w14:textId="22D456BA" w:rsidR="00BE79EA" w:rsidRPr="005B128F" w:rsidRDefault="005B128F" w:rsidP="005B128F">
      <w:pPr>
        <w:spacing w:before="240" w:after="240"/>
        <w:rPr>
          <w:color w:val="355585"/>
          <w:sz w:val="28"/>
          <w:szCs w:val="14"/>
        </w:rPr>
      </w:pPr>
      <w:r>
        <w:rPr>
          <w:color w:val="355585"/>
          <w:sz w:val="28"/>
          <w:szCs w:val="14"/>
        </w:rPr>
        <w:t>Reforming the GBER</w:t>
      </w:r>
    </w:p>
    <w:p w14:paraId="428DD2CF" w14:textId="77777777" w:rsidR="00BE79EA" w:rsidRPr="00BE79EA" w:rsidRDefault="00BE79EA" w:rsidP="00BE79EA">
      <w:pPr>
        <w:spacing w:after="0" w:line="276" w:lineRule="auto"/>
        <w:jc w:val="left"/>
        <w:rPr>
          <w:sz w:val="24"/>
        </w:rPr>
      </w:pPr>
      <w:r w:rsidRPr="00BE79EA">
        <w:rPr>
          <w:sz w:val="24"/>
        </w:rPr>
        <w:t>The European Commission is in the process of reforming the GBER.</w:t>
      </w:r>
      <w:r w:rsidRPr="00BE79EA">
        <w:rPr>
          <w:sz w:val="24"/>
          <w:vertAlign w:val="superscript"/>
        </w:rPr>
        <w:footnoteReference w:id="13"/>
      </w:r>
      <w:r w:rsidRPr="00BE79EA">
        <w:rPr>
          <w:sz w:val="24"/>
        </w:rPr>
        <w:t xml:space="preserve"> Since the GBER is a Commission Regulation, the co-legislators are not involved. The Member State can influence the outcome through an advisory committee.</w:t>
      </w:r>
      <w:r w:rsidRPr="00BE79EA">
        <w:rPr>
          <w:sz w:val="24"/>
          <w:vertAlign w:val="superscript"/>
        </w:rPr>
        <w:footnoteReference w:id="14"/>
      </w:r>
      <w:r w:rsidRPr="00BE79EA">
        <w:rPr>
          <w:sz w:val="24"/>
        </w:rPr>
        <w:t xml:space="preserve"> The Commission has published a draft regulation for consultation purposes.</w:t>
      </w:r>
      <w:r w:rsidRPr="00BE79EA">
        <w:rPr>
          <w:sz w:val="24"/>
          <w:vertAlign w:val="superscript"/>
        </w:rPr>
        <w:footnoteReference w:id="15"/>
      </w:r>
    </w:p>
    <w:p w14:paraId="55DD2C42" w14:textId="77777777" w:rsidR="00BE79EA" w:rsidRPr="00BE79EA" w:rsidRDefault="00BE79EA" w:rsidP="00BE79EA">
      <w:pPr>
        <w:spacing w:after="0" w:line="276" w:lineRule="auto"/>
        <w:jc w:val="left"/>
        <w:rPr>
          <w:sz w:val="24"/>
        </w:rPr>
      </w:pPr>
    </w:p>
    <w:p w14:paraId="20F7D0BF" w14:textId="77777777" w:rsidR="00BE79EA" w:rsidRPr="00BE79EA" w:rsidRDefault="00BE79EA" w:rsidP="00BE79EA">
      <w:pPr>
        <w:spacing w:after="0" w:line="276" w:lineRule="auto"/>
        <w:jc w:val="left"/>
        <w:rPr>
          <w:sz w:val="24"/>
        </w:rPr>
      </w:pPr>
      <w:r w:rsidRPr="00BE79EA">
        <w:rPr>
          <w:sz w:val="24"/>
        </w:rPr>
        <w:t>In 2024 and 2025, ENIL published policy reports recommending changes to the GBER to incentivise greater investments in supported employment. We recommended completely removing article 34(f) of the regulation currently in force.</w:t>
      </w:r>
      <w:r w:rsidRPr="00BE79EA">
        <w:rPr>
          <w:sz w:val="24"/>
          <w:vertAlign w:val="superscript"/>
        </w:rPr>
        <w:footnoteReference w:id="16"/>
      </w:r>
    </w:p>
    <w:p w14:paraId="5E0FF106" w14:textId="77777777" w:rsidR="00BE79EA" w:rsidRPr="00BE79EA" w:rsidRDefault="00BE79EA" w:rsidP="00BE79EA">
      <w:pPr>
        <w:spacing w:after="0" w:line="276" w:lineRule="auto"/>
        <w:jc w:val="left"/>
        <w:rPr>
          <w:sz w:val="24"/>
        </w:rPr>
      </w:pPr>
    </w:p>
    <w:p w14:paraId="3B1F9A06" w14:textId="54B55DFC" w:rsidR="006F412C" w:rsidRPr="00093A9A" w:rsidRDefault="00C7608E" w:rsidP="006F412C">
      <w:pPr>
        <w:spacing w:after="0" w:line="276" w:lineRule="auto"/>
        <w:jc w:val="left"/>
        <w:rPr>
          <w:b/>
          <w:color w:val="E76F35"/>
          <w:sz w:val="24"/>
          <w:szCs w:val="20"/>
        </w:rPr>
      </w:pPr>
      <w:r w:rsidRPr="00093A9A">
        <w:rPr>
          <w:b/>
          <w:color w:val="E76F35"/>
          <w:sz w:val="24"/>
          <w:szCs w:val="20"/>
        </w:rPr>
        <w:t>In reaction to the draft regulation published this year, we recommend the following changes</w:t>
      </w:r>
      <w:r w:rsidR="00093A9A" w:rsidRPr="00093A9A">
        <w:rPr>
          <w:b/>
          <w:color w:val="E76F35"/>
          <w:sz w:val="24"/>
          <w:szCs w:val="20"/>
        </w:rPr>
        <w:t>:</w:t>
      </w:r>
      <w:r w:rsidR="006F412C" w:rsidRPr="00093A9A">
        <w:rPr>
          <w:b/>
          <w:color w:val="E76F35"/>
          <w:sz w:val="24"/>
          <w:szCs w:val="20"/>
        </w:rPr>
        <w:t xml:space="preserve"> </w:t>
      </w:r>
    </w:p>
    <w:p w14:paraId="68AA02BA" w14:textId="77777777" w:rsidR="00BE79EA" w:rsidRPr="00BE79EA" w:rsidRDefault="00BE79EA" w:rsidP="00093A9A">
      <w:pPr>
        <w:spacing w:after="0" w:line="276" w:lineRule="auto"/>
        <w:ind w:left="0" w:firstLine="0"/>
        <w:jc w:val="left"/>
        <w:rPr>
          <w:sz w:val="24"/>
        </w:rPr>
      </w:pPr>
    </w:p>
    <w:p w14:paraId="5D37883D" w14:textId="77777777" w:rsidR="00BE79EA" w:rsidRPr="00BE79EA" w:rsidRDefault="00BE79EA" w:rsidP="00BE79EA">
      <w:pPr>
        <w:spacing w:after="0" w:line="276" w:lineRule="auto"/>
        <w:jc w:val="left"/>
        <w:rPr>
          <w:sz w:val="24"/>
        </w:rPr>
      </w:pPr>
      <w:r w:rsidRPr="00BE79EA">
        <w:rPr>
          <w:sz w:val="24"/>
        </w:rPr>
        <w:t xml:space="preserve">- Amend the new article 48(3)(f) by replacing the term “sheltered employment” with “supported employment”: </w:t>
      </w:r>
    </w:p>
    <w:p w14:paraId="367270DD" w14:textId="77777777" w:rsidR="00BE79EA" w:rsidRPr="00BE79EA" w:rsidRDefault="00BE79EA" w:rsidP="00BE79EA">
      <w:pPr>
        <w:spacing w:after="0" w:line="276" w:lineRule="auto"/>
        <w:jc w:val="left"/>
        <w:rPr>
          <w:sz w:val="24"/>
        </w:rPr>
      </w:pPr>
    </w:p>
    <w:p w14:paraId="5F60ACEB" w14:textId="77777777" w:rsidR="00BE79EA" w:rsidRPr="00BE79EA" w:rsidRDefault="00BE79EA" w:rsidP="00BE79EA">
      <w:pPr>
        <w:spacing w:after="0" w:line="276" w:lineRule="auto"/>
        <w:jc w:val="left"/>
        <w:rPr>
          <w:sz w:val="24"/>
        </w:rPr>
      </w:pPr>
      <w:r w:rsidRPr="00BE79EA">
        <w:rPr>
          <w:sz w:val="24"/>
        </w:rPr>
        <w:t>“</w:t>
      </w:r>
      <w:proofErr w:type="gramStart"/>
      <w:r w:rsidRPr="00BE79EA">
        <w:rPr>
          <w:sz w:val="24"/>
        </w:rPr>
        <w:t>where</w:t>
      </w:r>
      <w:proofErr w:type="gramEnd"/>
      <w:r w:rsidRPr="00BE79EA">
        <w:rPr>
          <w:sz w:val="24"/>
        </w:rPr>
        <w:t xml:space="preserve"> the beneficiary provides sheltered </w:t>
      </w:r>
      <w:r w:rsidRPr="00BE79EA">
        <w:rPr>
          <w:b/>
          <w:bCs/>
          <w:i/>
          <w:iCs/>
          <w:sz w:val="24"/>
        </w:rPr>
        <w:t xml:space="preserve">supported </w:t>
      </w:r>
      <w:r w:rsidRPr="00BE79EA">
        <w:rPr>
          <w:sz w:val="24"/>
        </w:rPr>
        <w:t>employment, the costs of constructing, installing or modernising the production units of the undertaking concerned, and any costs of administration and transport, provided that such costs result directly from the employment of workers with disabilities.”</w:t>
      </w:r>
    </w:p>
    <w:p w14:paraId="1AD69D06" w14:textId="77777777" w:rsidR="00BE79EA" w:rsidRPr="00BE79EA" w:rsidRDefault="00BE79EA" w:rsidP="00BE79EA">
      <w:pPr>
        <w:spacing w:after="0" w:line="276" w:lineRule="auto"/>
        <w:jc w:val="left"/>
        <w:rPr>
          <w:sz w:val="24"/>
        </w:rPr>
      </w:pPr>
    </w:p>
    <w:p w14:paraId="3652A701" w14:textId="77777777" w:rsidR="00BE79EA" w:rsidRPr="00BE79EA" w:rsidRDefault="00BE79EA" w:rsidP="00BE79EA">
      <w:pPr>
        <w:spacing w:after="0" w:line="276" w:lineRule="auto"/>
        <w:jc w:val="left"/>
        <w:rPr>
          <w:sz w:val="24"/>
        </w:rPr>
      </w:pPr>
      <w:r w:rsidRPr="00BE79EA">
        <w:rPr>
          <w:sz w:val="24"/>
        </w:rPr>
        <w:t>- Amend article 2(</w:t>
      </w:r>
      <w:proofErr w:type="gramStart"/>
      <w:r w:rsidRPr="00BE79EA">
        <w:rPr>
          <w:sz w:val="24"/>
        </w:rPr>
        <w:t>10)(</w:t>
      </w:r>
      <w:proofErr w:type="gramEnd"/>
      <w:r w:rsidRPr="00BE79EA">
        <w:rPr>
          <w:sz w:val="24"/>
        </w:rPr>
        <w:t xml:space="preserve">108) and include the following definition: </w:t>
      </w:r>
    </w:p>
    <w:p w14:paraId="1BDD9134" w14:textId="77777777" w:rsidR="00BE79EA" w:rsidRPr="00BE79EA" w:rsidRDefault="00BE79EA" w:rsidP="00BE79EA">
      <w:pPr>
        <w:spacing w:after="0" w:line="276" w:lineRule="auto"/>
        <w:jc w:val="left"/>
        <w:rPr>
          <w:sz w:val="24"/>
        </w:rPr>
      </w:pPr>
    </w:p>
    <w:p w14:paraId="1E184871" w14:textId="06D7D8FE" w:rsidR="00BE79EA" w:rsidRPr="00BE79EA" w:rsidRDefault="00BE79EA" w:rsidP="00093A9A">
      <w:pPr>
        <w:spacing w:after="0" w:line="276" w:lineRule="auto"/>
        <w:rPr>
          <w:b/>
          <w:bCs/>
          <w:i/>
          <w:iCs/>
          <w:sz w:val="24"/>
        </w:rPr>
      </w:pPr>
      <w:r w:rsidRPr="00BE79EA">
        <w:rPr>
          <w:sz w:val="24"/>
        </w:rPr>
        <w:t>‘</w:t>
      </w:r>
      <w:proofErr w:type="gramStart"/>
      <w:r w:rsidRPr="00BE79EA">
        <w:rPr>
          <w:sz w:val="24"/>
        </w:rPr>
        <w:t>sheltered</w:t>
      </w:r>
      <w:proofErr w:type="gramEnd"/>
      <w:r w:rsidRPr="00BE79EA">
        <w:rPr>
          <w:sz w:val="24"/>
        </w:rPr>
        <w:t xml:space="preserve"> </w:t>
      </w:r>
      <w:r w:rsidRPr="00BE79EA">
        <w:rPr>
          <w:b/>
          <w:bCs/>
          <w:sz w:val="24"/>
        </w:rPr>
        <w:t>supported</w:t>
      </w:r>
      <w:r w:rsidRPr="00BE79EA">
        <w:rPr>
          <w:sz w:val="24"/>
        </w:rPr>
        <w:t xml:space="preserve"> employment’ </w:t>
      </w:r>
      <w:r w:rsidRPr="00BE79EA">
        <w:rPr>
          <w:b/>
          <w:bCs/>
          <w:i/>
          <w:iCs/>
          <w:sz w:val="24"/>
        </w:rPr>
        <w:t xml:space="preserve">refers to measures designed to assist persons with disabilities in accessing and retaining employment or training in the open labour market on a basis equal to others or to assist the employer in employing persons with disabilities. Measures are predominantly provided while the person with disability is working in a position, for example personal assistance at work, job coaching or wage subsidies. Measures provided before a person is working in a position, for example resume or job search assistance or </w:t>
      </w:r>
      <w:r w:rsidR="00093A9A" w:rsidRPr="00BE79EA">
        <w:rPr>
          <w:b/>
          <w:bCs/>
          <w:i/>
          <w:iCs/>
          <w:sz w:val="24"/>
        </w:rPr>
        <w:t>customising</w:t>
      </w:r>
      <w:r w:rsidRPr="00BE79EA">
        <w:rPr>
          <w:b/>
          <w:bCs/>
          <w:i/>
          <w:iCs/>
          <w:sz w:val="24"/>
        </w:rPr>
        <w:t xml:space="preserve"> employment must be directly linked to the uptake of work or training. Preparatory jobs in segregated settings are not supported employment.</w:t>
      </w:r>
    </w:p>
    <w:p w14:paraId="22AD7D42" w14:textId="77777777" w:rsidR="00BE79EA" w:rsidRPr="00BE79EA" w:rsidRDefault="00BE79EA" w:rsidP="00CF3007">
      <w:pPr>
        <w:spacing w:after="0" w:line="276" w:lineRule="auto"/>
        <w:ind w:left="0" w:firstLine="0"/>
        <w:jc w:val="left"/>
        <w:rPr>
          <w:sz w:val="24"/>
        </w:rPr>
      </w:pPr>
    </w:p>
    <w:p w14:paraId="57B005E9" w14:textId="20212A06" w:rsidR="00156C5F" w:rsidRPr="00093A9A" w:rsidRDefault="00CF3007" w:rsidP="00093A9A">
      <w:pPr>
        <w:spacing w:after="0" w:line="276" w:lineRule="auto"/>
        <w:jc w:val="left"/>
        <w:rPr>
          <w:b/>
          <w:color w:val="E76F35"/>
          <w:sz w:val="24"/>
          <w:szCs w:val="20"/>
        </w:rPr>
      </w:pPr>
      <w:r w:rsidRPr="00093A9A">
        <w:rPr>
          <w:b/>
          <w:color w:val="E76F35"/>
          <w:sz w:val="24"/>
          <w:szCs w:val="20"/>
        </w:rPr>
        <w:t xml:space="preserve">We urge the Irish Presidency of the EU Council to support our position in the sessions of the Advisory Committee. </w:t>
      </w:r>
    </w:p>
    <w:p w14:paraId="025990DE" w14:textId="77777777" w:rsidR="00093A9A" w:rsidRDefault="00093A9A" w:rsidP="00093A9A">
      <w:pPr>
        <w:spacing w:after="0" w:line="276" w:lineRule="auto"/>
        <w:jc w:val="left"/>
        <w:rPr>
          <w:b/>
          <w:color w:val="E76F35"/>
          <w:sz w:val="28"/>
          <w:szCs w:val="22"/>
        </w:rPr>
      </w:pPr>
    </w:p>
    <w:p w14:paraId="3567A31A" w14:textId="77777777" w:rsidR="00093A9A" w:rsidRPr="00093A9A" w:rsidRDefault="00093A9A" w:rsidP="00093A9A">
      <w:pPr>
        <w:spacing w:after="0" w:line="276" w:lineRule="auto"/>
        <w:jc w:val="left"/>
        <w:rPr>
          <w:b/>
          <w:color w:val="E76F35"/>
          <w:sz w:val="28"/>
          <w:szCs w:val="22"/>
        </w:rPr>
      </w:pPr>
    </w:p>
    <w:p w14:paraId="4E024695" w14:textId="3CCAD939" w:rsidR="00F24B11" w:rsidRDefault="006B3F54" w:rsidP="0046247C">
      <w:pPr>
        <w:contextualSpacing/>
        <w:rPr>
          <w:color w:val="355585"/>
          <w:sz w:val="28"/>
          <w:szCs w:val="14"/>
        </w:rPr>
      </w:pPr>
      <w:r w:rsidRPr="006B3F54">
        <w:rPr>
          <w:color w:val="355585"/>
          <w:sz w:val="28"/>
          <w:szCs w:val="14"/>
        </w:rPr>
        <w:t>4. For accessible and affordable housing and Independent Living</w:t>
      </w:r>
    </w:p>
    <w:p w14:paraId="59F41656" w14:textId="77777777" w:rsidR="006B3F54" w:rsidRPr="00867483" w:rsidRDefault="006B3F54" w:rsidP="0046247C">
      <w:pPr>
        <w:contextualSpacing/>
        <w:rPr>
          <w:rFonts w:eastAsia="Arial"/>
          <w:sz w:val="24"/>
        </w:rPr>
      </w:pPr>
    </w:p>
    <w:p w14:paraId="4FD1694E" w14:textId="77777777" w:rsidR="00C512F9" w:rsidRPr="00C512F9" w:rsidRDefault="00C512F9" w:rsidP="00C512F9">
      <w:pPr>
        <w:rPr>
          <w:sz w:val="24"/>
          <w:szCs w:val="28"/>
        </w:rPr>
      </w:pPr>
      <w:bookmarkStart w:id="0" w:name="_Toc203139454"/>
      <w:r w:rsidRPr="00C512F9">
        <w:rPr>
          <w:sz w:val="24"/>
          <w:szCs w:val="28"/>
        </w:rPr>
        <w:t>Disabled people face a disproportionate risk of housing exclusion and homelessness across the European Union. Limited access to adequate, affordable and accessible housing can increase the risk of institutionalisation and undermine the right to Independent Living. Accessible and affordable housing is an essential element of successful deinstitutionalisation and equal participation in society.</w:t>
      </w:r>
    </w:p>
    <w:p w14:paraId="2FC1B5FF" w14:textId="77777777" w:rsidR="00C512F9" w:rsidRPr="00C512F9" w:rsidRDefault="00C512F9" w:rsidP="00C512F9">
      <w:pPr>
        <w:rPr>
          <w:sz w:val="24"/>
          <w:szCs w:val="28"/>
        </w:rPr>
      </w:pPr>
      <w:r w:rsidRPr="00C512F9">
        <w:rPr>
          <w:sz w:val="24"/>
          <w:szCs w:val="28"/>
        </w:rPr>
        <w:t>EU housing policy currently lacks a sufficient evidence base regarding the situation of disabled people.</w:t>
      </w:r>
    </w:p>
    <w:p w14:paraId="356FB740" w14:textId="77777777" w:rsidR="00C512F9" w:rsidRPr="00C512F9" w:rsidRDefault="00C512F9">
      <w:pPr>
        <w:pStyle w:val="Listenabsatz"/>
        <w:numPr>
          <w:ilvl w:val="0"/>
          <w:numId w:val="8"/>
        </w:numPr>
        <w:spacing w:after="160" w:line="279" w:lineRule="auto"/>
        <w:rPr>
          <w:rFonts w:eastAsiaTheme="minorEastAsia"/>
          <w:sz w:val="24"/>
          <w:szCs w:val="28"/>
        </w:rPr>
      </w:pPr>
      <w:r w:rsidRPr="00C512F9">
        <w:rPr>
          <w:rFonts w:eastAsiaTheme="minorEastAsia"/>
          <w:sz w:val="24"/>
          <w:szCs w:val="28"/>
        </w:rPr>
        <w:t>Better and more systematic data collection is needed to understand barriers to housing access and to support evidence-based policymaking.</w:t>
      </w:r>
    </w:p>
    <w:p w14:paraId="19D5F442" w14:textId="77777777" w:rsidR="00C512F9" w:rsidRPr="00C512F9" w:rsidRDefault="00C512F9">
      <w:pPr>
        <w:pStyle w:val="Listenabsatz"/>
        <w:numPr>
          <w:ilvl w:val="0"/>
          <w:numId w:val="11"/>
        </w:numPr>
        <w:spacing w:after="160" w:line="279" w:lineRule="auto"/>
        <w:rPr>
          <w:rFonts w:eastAsiaTheme="minorEastAsia"/>
          <w:sz w:val="24"/>
          <w:szCs w:val="28"/>
        </w:rPr>
      </w:pPr>
      <w:r w:rsidRPr="00C512F9">
        <w:rPr>
          <w:rFonts w:eastAsiaTheme="minorEastAsia"/>
          <w:sz w:val="24"/>
          <w:szCs w:val="28"/>
        </w:rPr>
        <w:t>Strengthening the collection and use of disaggregated data on housing exclusion, homelessness, accessibility barriers, energy poverty and institutionalisation risks among disabled people.</w:t>
      </w:r>
    </w:p>
    <w:p w14:paraId="54EC70A4" w14:textId="77777777" w:rsidR="00C512F9" w:rsidRDefault="00C512F9" w:rsidP="00C512F9">
      <w:pPr>
        <w:spacing w:before="240" w:after="240"/>
        <w:rPr>
          <w:color w:val="355585"/>
          <w:sz w:val="28"/>
          <w:szCs w:val="14"/>
        </w:rPr>
      </w:pPr>
      <w:r w:rsidRPr="00C512F9">
        <w:rPr>
          <w:color w:val="355585"/>
          <w:sz w:val="28"/>
          <w:szCs w:val="14"/>
        </w:rPr>
        <w:t>The simplification package</w:t>
      </w:r>
    </w:p>
    <w:p w14:paraId="1A3BFC04" w14:textId="0C528607" w:rsidR="00C512F9" w:rsidRPr="00C512F9" w:rsidRDefault="00C512F9" w:rsidP="00C512F9">
      <w:pPr>
        <w:spacing w:before="240" w:after="240"/>
        <w:rPr>
          <w:sz w:val="24"/>
          <w:szCs w:val="28"/>
        </w:rPr>
      </w:pPr>
      <w:r w:rsidRPr="00C512F9">
        <w:rPr>
          <w:sz w:val="24"/>
          <w:szCs w:val="28"/>
        </w:rPr>
        <w:t>The simplification package should contribute to strengthening accessibility standards in housing.</w:t>
      </w:r>
    </w:p>
    <w:p w14:paraId="0A3FF628" w14:textId="02EBFC74" w:rsidR="00C512F9" w:rsidRPr="00093A9A" w:rsidRDefault="00CF3007" w:rsidP="00CF3007">
      <w:pPr>
        <w:spacing w:line="278" w:lineRule="auto"/>
        <w:contextualSpacing/>
        <w:rPr>
          <w:b/>
          <w:color w:val="E76F35"/>
          <w:sz w:val="24"/>
          <w:szCs w:val="20"/>
        </w:rPr>
      </w:pPr>
      <w:r w:rsidRPr="00093A9A">
        <w:rPr>
          <w:b/>
          <w:color w:val="E76F35"/>
          <w:sz w:val="24"/>
          <w:szCs w:val="20"/>
        </w:rPr>
        <w:t xml:space="preserve">We recommend: </w:t>
      </w:r>
    </w:p>
    <w:p w14:paraId="52D301B2" w14:textId="77777777" w:rsidR="00C512F9" w:rsidRPr="00C512F9" w:rsidRDefault="00C512F9">
      <w:pPr>
        <w:pStyle w:val="Listenabsatz"/>
        <w:numPr>
          <w:ilvl w:val="0"/>
          <w:numId w:val="10"/>
        </w:numPr>
        <w:spacing w:after="0" w:line="279" w:lineRule="auto"/>
        <w:rPr>
          <w:sz w:val="24"/>
          <w:szCs w:val="28"/>
        </w:rPr>
      </w:pPr>
      <w:r w:rsidRPr="00C512F9">
        <w:rPr>
          <w:sz w:val="24"/>
          <w:szCs w:val="28"/>
        </w:rPr>
        <w:t xml:space="preserve">Recognising universal design as a commonly accepted standard in housing initiatives, construction and renovation. </w:t>
      </w:r>
    </w:p>
    <w:p w14:paraId="606667F0" w14:textId="4DA0E0D5" w:rsidR="00C512F9" w:rsidRPr="00C512F9" w:rsidRDefault="00C512F9">
      <w:pPr>
        <w:pStyle w:val="Listenabsatz"/>
        <w:numPr>
          <w:ilvl w:val="0"/>
          <w:numId w:val="10"/>
        </w:numPr>
        <w:spacing w:after="0" w:line="279" w:lineRule="auto"/>
        <w:rPr>
          <w:sz w:val="24"/>
          <w:szCs w:val="28"/>
        </w:rPr>
      </w:pPr>
      <w:r w:rsidRPr="00C512F9">
        <w:rPr>
          <w:sz w:val="24"/>
          <w:szCs w:val="28"/>
        </w:rPr>
        <w:t>Ensuring that simplification measures do not weaken accessibility requirements, universal design principles and reasonable accommodation obligations.</w:t>
      </w:r>
    </w:p>
    <w:p w14:paraId="55A624DE" w14:textId="6FD31F39" w:rsidR="00C512F9" w:rsidRPr="00C512F9" w:rsidRDefault="00C512F9" w:rsidP="00C512F9">
      <w:pPr>
        <w:spacing w:before="240" w:after="240"/>
        <w:ind w:left="0" w:firstLine="0"/>
        <w:rPr>
          <w:color w:val="355585"/>
          <w:sz w:val="28"/>
          <w:szCs w:val="14"/>
        </w:rPr>
      </w:pPr>
      <w:r w:rsidRPr="00C512F9">
        <w:rPr>
          <w:color w:val="355585"/>
          <w:sz w:val="28"/>
          <w:szCs w:val="14"/>
        </w:rPr>
        <w:t>European Affordable Housing Plan and The Affordable Housing Act</w:t>
      </w:r>
    </w:p>
    <w:p w14:paraId="2C8444EA" w14:textId="77777777" w:rsidR="00C512F9" w:rsidRDefault="00C512F9" w:rsidP="00C512F9">
      <w:pPr>
        <w:spacing w:after="0"/>
        <w:rPr>
          <w:sz w:val="24"/>
          <w:szCs w:val="28"/>
        </w:rPr>
      </w:pPr>
      <w:r w:rsidRPr="00C512F9">
        <w:rPr>
          <w:sz w:val="24"/>
          <w:szCs w:val="28"/>
        </w:rPr>
        <w:t>The European Affordable Housing Plan and the Affordable Housing Act should actively contribute to Independent Living and social inclusion.</w:t>
      </w:r>
    </w:p>
    <w:p w14:paraId="2F32E1B7" w14:textId="77777777" w:rsidR="00CF3007" w:rsidRPr="00C512F9" w:rsidRDefault="00CF3007" w:rsidP="00C512F9">
      <w:pPr>
        <w:spacing w:after="0"/>
        <w:rPr>
          <w:sz w:val="24"/>
          <w:szCs w:val="28"/>
        </w:rPr>
      </w:pPr>
    </w:p>
    <w:p w14:paraId="08B3D9A6" w14:textId="77777777" w:rsidR="00CF3007" w:rsidRPr="00093A9A" w:rsidRDefault="00CF3007" w:rsidP="00CF3007">
      <w:pPr>
        <w:spacing w:line="278" w:lineRule="auto"/>
        <w:contextualSpacing/>
        <w:rPr>
          <w:b/>
          <w:color w:val="E76F35"/>
          <w:sz w:val="24"/>
          <w:szCs w:val="20"/>
        </w:rPr>
      </w:pPr>
      <w:r w:rsidRPr="00093A9A">
        <w:rPr>
          <w:b/>
          <w:color w:val="E76F35"/>
          <w:sz w:val="24"/>
          <w:szCs w:val="20"/>
        </w:rPr>
        <w:t xml:space="preserve">We recommend: </w:t>
      </w:r>
    </w:p>
    <w:p w14:paraId="6D937BF9" w14:textId="77777777" w:rsidR="00CF3007" w:rsidRPr="00C512F9" w:rsidRDefault="00CF3007" w:rsidP="00C512F9">
      <w:pPr>
        <w:spacing w:after="0"/>
        <w:rPr>
          <w:sz w:val="24"/>
          <w:szCs w:val="28"/>
        </w:rPr>
      </w:pPr>
    </w:p>
    <w:p w14:paraId="699353B9" w14:textId="77777777" w:rsidR="00C512F9" w:rsidRDefault="00C512F9">
      <w:pPr>
        <w:pStyle w:val="Listenabsatz"/>
        <w:numPr>
          <w:ilvl w:val="0"/>
          <w:numId w:val="9"/>
        </w:numPr>
        <w:spacing w:after="0" w:line="279" w:lineRule="auto"/>
        <w:rPr>
          <w:sz w:val="24"/>
          <w:szCs w:val="28"/>
        </w:rPr>
      </w:pPr>
      <w:r w:rsidRPr="00C512F9">
        <w:rPr>
          <w:sz w:val="24"/>
          <w:szCs w:val="28"/>
        </w:rPr>
        <w:t xml:space="preserve">Supporting long-term investments in social and non-profit housing developed according to accessibility and universal design standards. </w:t>
      </w:r>
    </w:p>
    <w:p w14:paraId="20DCCB1E" w14:textId="77777777" w:rsidR="00CF3007" w:rsidRPr="00C512F9" w:rsidRDefault="00CF3007" w:rsidP="00CF3007">
      <w:pPr>
        <w:pStyle w:val="Listenabsatz"/>
        <w:spacing w:after="0" w:line="279" w:lineRule="auto"/>
        <w:ind w:firstLine="0"/>
        <w:rPr>
          <w:sz w:val="24"/>
          <w:szCs w:val="28"/>
        </w:rPr>
      </w:pPr>
    </w:p>
    <w:p w14:paraId="53FFDAF0" w14:textId="77777777" w:rsidR="00C512F9" w:rsidRDefault="00C512F9">
      <w:pPr>
        <w:pStyle w:val="Listenabsatz"/>
        <w:numPr>
          <w:ilvl w:val="0"/>
          <w:numId w:val="9"/>
        </w:numPr>
        <w:spacing w:after="0" w:line="279" w:lineRule="auto"/>
        <w:rPr>
          <w:sz w:val="24"/>
          <w:szCs w:val="28"/>
        </w:rPr>
      </w:pPr>
      <w:r w:rsidRPr="00C512F9">
        <w:rPr>
          <w:sz w:val="24"/>
          <w:szCs w:val="28"/>
        </w:rPr>
        <w:t xml:space="preserve">Ensuring the systematic inclusion of disability and Independent Living principles in housing and anti-poverty measures. </w:t>
      </w:r>
    </w:p>
    <w:p w14:paraId="42935AF4" w14:textId="77777777" w:rsidR="00CF3007" w:rsidRPr="00CF3007" w:rsidRDefault="00CF3007" w:rsidP="00CF3007">
      <w:pPr>
        <w:spacing w:after="0" w:line="279" w:lineRule="auto"/>
        <w:ind w:left="0" w:firstLine="0"/>
        <w:rPr>
          <w:sz w:val="24"/>
          <w:szCs w:val="28"/>
        </w:rPr>
      </w:pPr>
    </w:p>
    <w:p w14:paraId="197F1743" w14:textId="77777777" w:rsidR="00C512F9" w:rsidRPr="00C512F9" w:rsidRDefault="00C512F9">
      <w:pPr>
        <w:pStyle w:val="Listenabsatz"/>
        <w:numPr>
          <w:ilvl w:val="0"/>
          <w:numId w:val="9"/>
        </w:numPr>
        <w:spacing w:after="0" w:line="279" w:lineRule="auto"/>
        <w:rPr>
          <w:sz w:val="24"/>
          <w:szCs w:val="28"/>
        </w:rPr>
      </w:pPr>
      <w:r w:rsidRPr="00C512F9">
        <w:rPr>
          <w:sz w:val="24"/>
          <w:szCs w:val="28"/>
        </w:rPr>
        <w:t>Supporting Member States in combining housing measures with personal assistance and other forms of individualised support</w:t>
      </w:r>
    </w:p>
    <w:p w14:paraId="3BAC124C" w14:textId="77777777" w:rsidR="00C512F9" w:rsidRDefault="00C512F9">
      <w:pPr>
        <w:pStyle w:val="Listenabsatz"/>
        <w:numPr>
          <w:ilvl w:val="0"/>
          <w:numId w:val="9"/>
        </w:numPr>
        <w:spacing w:after="0" w:line="279" w:lineRule="auto"/>
        <w:rPr>
          <w:sz w:val="24"/>
          <w:szCs w:val="28"/>
        </w:rPr>
      </w:pPr>
      <w:r w:rsidRPr="00C512F9">
        <w:rPr>
          <w:sz w:val="24"/>
          <w:szCs w:val="28"/>
        </w:rPr>
        <w:t xml:space="preserve">Promoting accessibility requirements for new housing developments through the inclusion of a defined share of accessible housing units, in line with universal design principles and the objective of fostering inclusive mixed communities. Such measures may support independent living, improve equal access to housing for disabled people, and contribute to more inclusive and socially cohesive urban communities. </w:t>
      </w:r>
      <w:proofErr w:type="gramStart"/>
      <w:r w:rsidRPr="00C512F9">
        <w:rPr>
          <w:sz w:val="24"/>
          <w:szCs w:val="28"/>
        </w:rPr>
        <w:t>Particular attention</w:t>
      </w:r>
      <w:proofErr w:type="gramEnd"/>
      <w:r w:rsidRPr="00C512F9">
        <w:rPr>
          <w:sz w:val="24"/>
          <w:szCs w:val="28"/>
        </w:rPr>
        <w:t xml:space="preserve"> should be given to ensuring effective implementation and adequate availability of accessible housing across both urban and rural areas.</w:t>
      </w:r>
    </w:p>
    <w:p w14:paraId="0DC6F6E8" w14:textId="77777777" w:rsidR="00C512F9" w:rsidRDefault="00C512F9" w:rsidP="00C512F9">
      <w:pPr>
        <w:pStyle w:val="Listenabsatz"/>
        <w:spacing w:after="0" w:line="279" w:lineRule="auto"/>
        <w:ind w:firstLine="0"/>
        <w:rPr>
          <w:sz w:val="24"/>
          <w:szCs w:val="28"/>
        </w:rPr>
      </w:pPr>
    </w:p>
    <w:p w14:paraId="3DD587AB" w14:textId="77777777" w:rsidR="00261BDA" w:rsidRDefault="00261BDA" w:rsidP="004B48A1">
      <w:pPr>
        <w:spacing w:after="160" w:line="278" w:lineRule="auto"/>
        <w:ind w:left="0" w:firstLine="0"/>
        <w:jc w:val="left"/>
        <w:rPr>
          <w:sz w:val="24"/>
          <w:szCs w:val="28"/>
        </w:rPr>
      </w:pPr>
    </w:p>
    <w:p w14:paraId="1673FA10" w14:textId="77777777" w:rsidR="00261BDA" w:rsidRDefault="00261BDA" w:rsidP="004B48A1">
      <w:pPr>
        <w:spacing w:after="160" w:line="278" w:lineRule="auto"/>
        <w:ind w:left="0" w:firstLine="0"/>
        <w:jc w:val="left"/>
        <w:rPr>
          <w:sz w:val="24"/>
          <w:szCs w:val="28"/>
        </w:rPr>
      </w:pPr>
    </w:p>
    <w:p w14:paraId="434880DD" w14:textId="0B6DEC13" w:rsidR="00261BDA" w:rsidRPr="00261BDA" w:rsidRDefault="00261BDA" w:rsidP="00261BDA">
      <w:pPr>
        <w:pStyle w:val="berschrift1"/>
        <w:numPr>
          <w:ilvl w:val="0"/>
          <w:numId w:val="0"/>
        </w:numPr>
        <w:spacing w:after="166"/>
        <w:ind w:left="605" w:right="37" w:hanging="605"/>
        <w:rPr>
          <w:sz w:val="36"/>
          <w:szCs w:val="18"/>
          <w:lang w:val="en-GB"/>
        </w:rPr>
      </w:pPr>
      <w:r w:rsidRPr="00261BDA">
        <w:rPr>
          <w:sz w:val="36"/>
          <w:szCs w:val="18"/>
          <w:lang w:val="en-GB"/>
        </w:rPr>
        <w:t>Brussels 28 May 202</w:t>
      </w:r>
      <w:r w:rsidRPr="00261BDA">
        <w:rPr>
          <w:sz w:val="36"/>
          <w:szCs w:val="18"/>
          <w:lang w:val="en-GB"/>
        </w:rPr>
        <w:t>6</w:t>
      </w:r>
    </w:p>
    <w:p w14:paraId="4D217F63" w14:textId="09FC5778" w:rsidR="00261BDA" w:rsidRDefault="00261BDA" w:rsidP="004B48A1">
      <w:pPr>
        <w:spacing w:after="160" w:line="278" w:lineRule="auto"/>
        <w:ind w:left="0" w:firstLine="0"/>
        <w:jc w:val="left"/>
        <w:rPr>
          <w:sz w:val="24"/>
          <w:szCs w:val="28"/>
        </w:rPr>
      </w:pPr>
      <w:r>
        <w:rPr>
          <w:sz w:val="24"/>
          <w:szCs w:val="28"/>
        </w:rPr>
        <w:br w:type="page"/>
      </w:r>
    </w:p>
    <w:p w14:paraId="675ADF82" w14:textId="77777777" w:rsidR="00921603" w:rsidRPr="00DB76D7" w:rsidRDefault="00921603" w:rsidP="00261BDA">
      <w:pPr>
        <w:pStyle w:val="berschrift1"/>
        <w:numPr>
          <w:ilvl w:val="0"/>
          <w:numId w:val="0"/>
        </w:numPr>
        <w:snapToGrid w:val="0"/>
        <w:spacing w:before="120" w:after="120" w:line="240" w:lineRule="auto"/>
        <w:contextualSpacing/>
        <w:rPr>
          <w:b/>
          <w:bCs/>
          <w:sz w:val="28"/>
          <w:szCs w:val="28"/>
          <w:lang w:val="en-GB"/>
        </w:rPr>
      </w:pPr>
      <w:r w:rsidRPr="00DB76D7">
        <w:rPr>
          <w:b/>
          <w:bCs/>
          <w:sz w:val="28"/>
          <w:szCs w:val="28"/>
          <w:lang w:val="en-GB"/>
        </w:rPr>
        <w:t>About the European Network on Independent Living</w:t>
      </w:r>
      <w:bookmarkEnd w:id="0"/>
    </w:p>
    <w:p w14:paraId="243D742A" w14:textId="77777777" w:rsidR="00921603" w:rsidRPr="003F1FCF" w:rsidRDefault="00921603" w:rsidP="00DC1492">
      <w:pPr>
        <w:snapToGrid w:val="0"/>
        <w:spacing w:line="240" w:lineRule="auto"/>
        <w:contextualSpacing/>
        <w:rPr>
          <w:rFonts w:ascii="Arial" w:hAnsi="Arial" w:cs="Arial"/>
          <w:szCs w:val="22"/>
        </w:rPr>
      </w:pPr>
    </w:p>
    <w:p w14:paraId="649E4559" w14:textId="77777777" w:rsidR="00921603" w:rsidRPr="003F1FCF" w:rsidRDefault="00921603" w:rsidP="00DC1492">
      <w:pPr>
        <w:snapToGrid w:val="0"/>
        <w:spacing w:line="240" w:lineRule="auto"/>
        <w:contextualSpacing/>
      </w:pPr>
      <w:r w:rsidRPr="003F1FCF">
        <w:t>The European Network on Independent Living (ENIL) is a disabled-led, cross-disability network of disabled people and their representative organisations. ENIL promotes the right to independent living, as set out in Article 19 of the UN Convention on the Rights of Persons with Disabilities (CRPD), its General Comments and the Guidelines on deinstitutionalisation, including in emergencies. ENIL’s work is guided by the CRPD and the Independent Living principles, enshrined in the Independent Living Pillars. ENIL is active at the European level, and internationally, through cooperation with Centres for Independent Living from around the globe. ENIL’s actions and activities are based on the social and the human rights models of disability, and on the principles of inclusive equality, self-determination, solidarity and intersectionality.</w:t>
      </w:r>
    </w:p>
    <w:p w14:paraId="6D04AA09" w14:textId="77777777" w:rsidR="00DC1492" w:rsidRPr="003F1FCF" w:rsidRDefault="00DC1492" w:rsidP="00DC1492">
      <w:pPr>
        <w:snapToGrid w:val="0"/>
        <w:spacing w:line="240" w:lineRule="auto"/>
        <w:contextualSpacing/>
      </w:pPr>
    </w:p>
    <w:p w14:paraId="26D75C39" w14:textId="77777777" w:rsidR="00921603" w:rsidRPr="003F1FCF" w:rsidRDefault="00921603" w:rsidP="00DC1492">
      <w:pPr>
        <w:snapToGrid w:val="0"/>
        <w:spacing w:line="240" w:lineRule="auto"/>
        <w:contextualSpacing/>
      </w:pPr>
      <w:r w:rsidRPr="003F1FCF">
        <w:t>ENIL has participatory status with the Council of Europe (i.e. is a member of the Conference of INGOs) and consultative status with ECOSOC.</w:t>
      </w:r>
    </w:p>
    <w:p w14:paraId="2EF9B7F9" w14:textId="77777777" w:rsidR="00921603" w:rsidRPr="003F1FCF" w:rsidRDefault="00921603" w:rsidP="00DC1492">
      <w:pPr>
        <w:snapToGrid w:val="0"/>
        <w:spacing w:line="240" w:lineRule="auto"/>
        <w:contextualSpacing/>
      </w:pPr>
    </w:p>
    <w:p w14:paraId="3D1386F3" w14:textId="77777777" w:rsidR="00921603" w:rsidRPr="003F1FCF" w:rsidRDefault="00921603" w:rsidP="00DC1492">
      <w:pPr>
        <w:snapToGrid w:val="0"/>
        <w:spacing w:line="240" w:lineRule="auto"/>
        <w:ind w:left="11" w:hanging="11"/>
        <w:contextualSpacing/>
        <w:rPr>
          <w:b/>
          <w:bCs/>
        </w:rPr>
      </w:pPr>
      <w:r w:rsidRPr="003F1FCF">
        <w:rPr>
          <w:b/>
          <w:bCs/>
        </w:rPr>
        <w:t>Contact us</w:t>
      </w:r>
    </w:p>
    <w:p w14:paraId="312CFAA9" w14:textId="77777777" w:rsidR="00921603" w:rsidRPr="003F1FCF" w:rsidRDefault="00921603" w:rsidP="00DC1492">
      <w:pPr>
        <w:snapToGrid w:val="0"/>
        <w:spacing w:line="240" w:lineRule="auto"/>
        <w:ind w:left="11" w:hanging="11"/>
        <w:contextualSpacing/>
      </w:pPr>
      <w:r w:rsidRPr="003F1FCF">
        <w:t>European Network on Independent Living (ENIL)</w:t>
      </w:r>
    </w:p>
    <w:p w14:paraId="2598EBD4" w14:textId="77777777" w:rsidR="00921603" w:rsidRPr="003F1FCF" w:rsidRDefault="00921603" w:rsidP="00DC1492">
      <w:pPr>
        <w:snapToGrid w:val="0"/>
        <w:spacing w:line="240" w:lineRule="auto"/>
        <w:ind w:left="11" w:hanging="11"/>
        <w:contextualSpacing/>
      </w:pPr>
      <w:r w:rsidRPr="003F1FCF">
        <w:t>6thFloor – Mundo J</w:t>
      </w:r>
    </w:p>
    <w:p w14:paraId="769BF3F6" w14:textId="77777777" w:rsidR="00921603" w:rsidRPr="003F1FCF" w:rsidRDefault="00921603" w:rsidP="00DC1492">
      <w:pPr>
        <w:snapToGrid w:val="0"/>
        <w:spacing w:line="240" w:lineRule="auto"/>
        <w:ind w:left="11" w:hanging="11"/>
        <w:contextualSpacing/>
      </w:pPr>
      <w:r w:rsidRPr="003F1FCF">
        <w:t xml:space="preserve">Rue de </w:t>
      </w:r>
      <w:proofErr w:type="spellStart"/>
      <w:r w:rsidRPr="003F1FCF">
        <w:t>l’Industrie</w:t>
      </w:r>
      <w:proofErr w:type="spellEnd"/>
      <w:r w:rsidRPr="003F1FCF">
        <w:t xml:space="preserve"> 10</w:t>
      </w:r>
    </w:p>
    <w:p w14:paraId="57EB1D4D" w14:textId="77777777" w:rsidR="00921603" w:rsidRPr="003F1FCF" w:rsidRDefault="00921603" w:rsidP="00DC1492">
      <w:pPr>
        <w:snapToGrid w:val="0"/>
        <w:spacing w:line="240" w:lineRule="auto"/>
        <w:ind w:left="11" w:hanging="11"/>
        <w:contextualSpacing/>
      </w:pPr>
      <w:r w:rsidRPr="003F1FCF">
        <w:t>1000 Brussels</w:t>
      </w:r>
    </w:p>
    <w:p w14:paraId="71CFF367" w14:textId="77777777" w:rsidR="00921603" w:rsidRPr="003F1FCF" w:rsidRDefault="00921603" w:rsidP="00DC1492">
      <w:pPr>
        <w:snapToGrid w:val="0"/>
        <w:spacing w:line="240" w:lineRule="auto"/>
        <w:ind w:left="11" w:hanging="11"/>
        <w:contextualSpacing/>
      </w:pPr>
      <w:r w:rsidRPr="003F1FCF">
        <w:t>Belgium</w:t>
      </w:r>
    </w:p>
    <w:p w14:paraId="51B9ADDA" w14:textId="77777777" w:rsidR="00921603" w:rsidRPr="003F1FCF" w:rsidRDefault="00921603" w:rsidP="00DC1492">
      <w:pPr>
        <w:snapToGrid w:val="0"/>
        <w:spacing w:line="240" w:lineRule="auto"/>
        <w:ind w:left="11" w:hanging="11"/>
        <w:contextualSpacing/>
      </w:pPr>
      <w:r w:rsidRPr="003F1FCF">
        <w:t>E-mail: secretariat@enil.eu</w:t>
      </w:r>
    </w:p>
    <w:p w14:paraId="5B4F72B7" w14:textId="77777777" w:rsidR="00921603" w:rsidRPr="003F1FCF" w:rsidRDefault="00921603" w:rsidP="00DC1492">
      <w:pPr>
        <w:snapToGrid w:val="0"/>
        <w:spacing w:line="240" w:lineRule="auto"/>
        <w:ind w:left="11" w:hanging="11"/>
        <w:contextualSpacing/>
      </w:pPr>
      <w:r w:rsidRPr="003F1FCF">
        <w:t xml:space="preserve">Website: </w:t>
      </w:r>
      <w:hyperlink r:id="rId9" w:history="1">
        <w:r w:rsidRPr="003F1FCF">
          <w:rPr>
            <w:rStyle w:val="Hyperlink"/>
            <w:sz w:val="28"/>
            <w:szCs w:val="28"/>
          </w:rPr>
          <w:t>www.enil.eu</w:t>
        </w:r>
      </w:hyperlink>
      <w:r w:rsidRPr="003F1FCF">
        <w:t xml:space="preserve">  </w:t>
      </w:r>
    </w:p>
    <w:p w14:paraId="11F0AD40" w14:textId="77777777" w:rsidR="00921603" w:rsidRPr="003F1FCF" w:rsidRDefault="00921603" w:rsidP="00DC1492">
      <w:pPr>
        <w:snapToGrid w:val="0"/>
        <w:spacing w:line="240" w:lineRule="auto"/>
        <w:ind w:left="11" w:hanging="11"/>
        <w:contextualSpacing/>
      </w:pPr>
    </w:p>
    <w:p w14:paraId="37DE19FF" w14:textId="77777777" w:rsidR="00921603" w:rsidRPr="003F1FCF" w:rsidRDefault="00921603" w:rsidP="004E2B7C">
      <w:pPr>
        <w:pStyle w:val="KeinLeerraum"/>
        <w:snapToGrid w:val="0"/>
        <w:spacing w:before="120" w:after="120"/>
        <w:rPr>
          <w:lang w:val="en-GB"/>
        </w:rPr>
      </w:pPr>
    </w:p>
    <w:p w14:paraId="5E982027" w14:textId="77777777" w:rsidR="00921603" w:rsidRPr="003F1FCF" w:rsidRDefault="00921603" w:rsidP="004E2B7C">
      <w:pPr>
        <w:snapToGrid w:val="0"/>
        <w:spacing w:line="240" w:lineRule="auto"/>
        <w:jc w:val="left"/>
        <w:rPr>
          <w:rFonts w:ascii="Arial" w:hAnsi="Arial" w:cs="Arial"/>
          <w:sz w:val="28"/>
          <w:szCs w:val="28"/>
        </w:rPr>
      </w:pPr>
      <w:r w:rsidRPr="003F1FCF">
        <w:rPr>
          <w:rFonts w:ascii="Arial" w:hAnsi="Arial" w:cs="Arial"/>
          <w:noProof/>
          <w:sz w:val="28"/>
          <w:szCs w:val="28"/>
        </w:rPr>
        <w:drawing>
          <wp:inline distT="0" distB="0" distL="0" distR="0" wp14:anchorId="3DD10896" wp14:editId="1743421A">
            <wp:extent cx="2486546" cy="519675"/>
            <wp:effectExtent l="19050" t="0" r="9004" b="0"/>
            <wp:docPr id="5" name="Picture 18"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8" descr="Blue text on a white background&#10;&#10;Description automatically generated"/>
                    <pic:cNvPicPr/>
                  </pic:nvPicPr>
                  <pic:blipFill>
                    <a:blip r:embed="rId10" cstate="screen">
                      <a:extLst>
                        <a:ext uri="{28A0092B-C50C-407E-A947-70E740481C1C}">
                          <a14:useLocalDpi xmlns:a14="http://schemas.microsoft.com/office/drawing/2010/main"/>
                        </a:ext>
                      </a:extLst>
                    </a:blip>
                    <a:stretch>
                      <a:fillRect/>
                    </a:stretch>
                  </pic:blipFill>
                  <pic:spPr>
                    <a:xfrm>
                      <a:off x="0" y="0"/>
                      <a:ext cx="2486546" cy="519675"/>
                    </a:xfrm>
                    <a:prstGeom prst="rect">
                      <a:avLst/>
                    </a:prstGeom>
                  </pic:spPr>
                </pic:pic>
              </a:graphicData>
            </a:graphic>
          </wp:inline>
        </w:drawing>
      </w:r>
    </w:p>
    <w:p w14:paraId="0D16742D" w14:textId="77777777" w:rsidR="00921603" w:rsidRPr="003F1FCF" w:rsidRDefault="00921603" w:rsidP="004E2B7C">
      <w:pPr>
        <w:snapToGrid w:val="0"/>
        <w:spacing w:line="240" w:lineRule="auto"/>
        <w:jc w:val="left"/>
        <w:rPr>
          <w:rFonts w:ascii="Arial" w:hAnsi="Arial" w:cs="Arial"/>
          <w:sz w:val="28"/>
          <w:szCs w:val="28"/>
        </w:rPr>
      </w:pPr>
    </w:p>
    <w:p w14:paraId="3173AD6D" w14:textId="77777777" w:rsidR="00921603" w:rsidRPr="003F1FCF" w:rsidRDefault="00921603" w:rsidP="004E2B7C">
      <w:pPr>
        <w:snapToGrid w:val="0"/>
        <w:spacing w:line="240" w:lineRule="auto"/>
        <w:jc w:val="left"/>
        <w:rPr>
          <w:rFonts w:ascii="Arial" w:hAnsi="Arial" w:cs="Arial"/>
          <w:sz w:val="28"/>
          <w:szCs w:val="28"/>
        </w:rPr>
      </w:pPr>
      <w:r w:rsidRPr="003F1FCF">
        <w:rPr>
          <w:rFonts w:ascii="Arial" w:hAnsi="Arial" w:cs="Arial"/>
          <w:i/>
          <w:iCs/>
        </w:rPr>
        <w:t>Co-funded by the European Union. Views and opinions expressed are however those of the author(s) only and do not necessarily reflect those of the European Union or the European Commission. Neither the European Union nor the granting authority can be held responsible for them.</w:t>
      </w:r>
    </w:p>
    <w:p w14:paraId="2E1B55E0" w14:textId="77777777" w:rsidR="00BB3CB1" w:rsidRDefault="00BB3CB1" w:rsidP="00FA7BE0">
      <w:pPr>
        <w:spacing w:after="242" w:line="462" w:lineRule="auto"/>
        <w:ind w:left="0" w:right="879" w:firstLine="0"/>
      </w:pPr>
    </w:p>
    <w:sectPr w:rsidR="00BB3CB1" w:rsidSect="00FA7BE0">
      <w:headerReference w:type="default" r:id="rId11"/>
      <w:footerReference w:type="even" r:id="rId12"/>
      <w:footerReference w:type="default" r:id="rId13"/>
      <w:footerReference w:type="first" r:id="rId14"/>
      <w:pgSz w:w="11920" w:h="16840"/>
      <w:pgMar w:top="1309" w:right="1260" w:bottom="1300"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F050A" w14:textId="77777777" w:rsidR="00244C23" w:rsidRPr="003F1FCF" w:rsidRDefault="00244C23">
      <w:pPr>
        <w:spacing w:after="0" w:line="240" w:lineRule="auto"/>
      </w:pPr>
      <w:r w:rsidRPr="003F1FCF">
        <w:separator/>
      </w:r>
    </w:p>
  </w:endnote>
  <w:endnote w:type="continuationSeparator" w:id="0">
    <w:p w14:paraId="1487ADC3" w14:textId="77777777" w:rsidR="00244C23" w:rsidRPr="003F1FCF" w:rsidRDefault="00244C23">
      <w:pPr>
        <w:spacing w:after="0" w:line="240" w:lineRule="auto"/>
      </w:pPr>
      <w:r w:rsidRPr="003F1F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4918" w14:textId="77777777" w:rsidR="00442839" w:rsidRPr="003F1FCF" w:rsidRDefault="00442839">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D4DE" w14:textId="57B5984F" w:rsidR="00113C3B" w:rsidRPr="003F1FCF" w:rsidRDefault="00BA5601">
    <w:pPr>
      <w:pStyle w:val="Fuzeile"/>
      <w:jc w:val="right"/>
    </w:pPr>
    <w:r w:rsidRPr="003F1FCF">
      <w:t xml:space="preserve"> </w:t>
    </w:r>
    <w:sdt>
      <w:sdtPr>
        <w:id w:val="-840243094"/>
        <w:docPartObj>
          <w:docPartGallery w:val="Page Numbers (Bottom of Page)"/>
          <w:docPartUnique/>
        </w:docPartObj>
      </w:sdtPr>
      <w:sdtContent>
        <w:r w:rsidR="00113C3B" w:rsidRPr="003F1FCF">
          <w:fldChar w:fldCharType="begin"/>
        </w:r>
        <w:r w:rsidR="00113C3B" w:rsidRPr="003F1FCF">
          <w:instrText>PAGE   \* MERGEFORMAT</w:instrText>
        </w:r>
        <w:r w:rsidR="00113C3B" w:rsidRPr="003F1FCF">
          <w:fldChar w:fldCharType="separate"/>
        </w:r>
        <w:r w:rsidR="00113C3B" w:rsidRPr="003F1FCF">
          <w:t>2</w:t>
        </w:r>
        <w:r w:rsidR="00113C3B" w:rsidRPr="003F1FCF">
          <w:fldChar w:fldCharType="end"/>
        </w:r>
      </w:sdtContent>
    </w:sdt>
  </w:p>
  <w:p w14:paraId="65C80F5E" w14:textId="4B87A39E" w:rsidR="00442839" w:rsidRPr="003F1FCF" w:rsidRDefault="00442839" w:rsidP="00E73EAC">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0B09" w14:textId="77777777" w:rsidR="00442839" w:rsidRPr="003F1FCF" w:rsidRDefault="0044283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C335" w14:textId="77777777" w:rsidR="00244C23" w:rsidRPr="003F1FCF" w:rsidRDefault="00244C23">
      <w:pPr>
        <w:spacing w:after="0" w:line="240" w:lineRule="auto"/>
      </w:pPr>
      <w:r w:rsidRPr="003F1FCF">
        <w:separator/>
      </w:r>
    </w:p>
  </w:footnote>
  <w:footnote w:type="continuationSeparator" w:id="0">
    <w:p w14:paraId="4F8E57FE" w14:textId="77777777" w:rsidR="00244C23" w:rsidRPr="003F1FCF" w:rsidRDefault="00244C23">
      <w:pPr>
        <w:spacing w:after="0" w:line="240" w:lineRule="auto"/>
      </w:pPr>
      <w:r w:rsidRPr="003F1FCF">
        <w:continuationSeparator/>
      </w:r>
    </w:p>
  </w:footnote>
  <w:footnote w:id="1">
    <w:p w14:paraId="24723E8B" w14:textId="30C100F8" w:rsidR="008B420E" w:rsidRPr="008B420E" w:rsidRDefault="008B420E">
      <w:pPr>
        <w:pStyle w:val="Funotentext"/>
        <w:rPr>
          <w:lang w:val="de-DE"/>
        </w:rPr>
      </w:pPr>
      <w:r>
        <w:rPr>
          <w:rStyle w:val="Funotenzeichen"/>
        </w:rPr>
        <w:footnoteRef/>
      </w:r>
      <w:proofErr w:type="spellStart"/>
      <w:r w:rsidR="008936E2" w:rsidRPr="008936E2">
        <w:t>Eurofound</w:t>
      </w:r>
      <w:proofErr w:type="spellEnd"/>
      <w:r w:rsidR="008936E2" w:rsidRPr="008936E2">
        <w:t xml:space="preserve"> 2024. Paths towards Independent Living and social inclusion. </w:t>
      </w:r>
      <w:hyperlink r:id="rId1" w:history="1">
        <w:r w:rsidR="008936E2" w:rsidRPr="008936E2">
          <w:rPr>
            <w:rStyle w:val="Hyperlink"/>
          </w:rPr>
          <w:t>https://www.eurofound.europa.eu/en/publications/all/paths-towards-independent-living-and-social-inclusion-europe</w:t>
        </w:r>
      </w:hyperlink>
    </w:p>
  </w:footnote>
  <w:footnote w:id="2">
    <w:p w14:paraId="04BD17D4" w14:textId="14687DA5" w:rsidR="008B420E" w:rsidRPr="008B420E" w:rsidRDefault="008B420E">
      <w:pPr>
        <w:pStyle w:val="Funotentext"/>
        <w:rPr>
          <w:lang w:val="de-DE"/>
        </w:rPr>
      </w:pPr>
      <w:r>
        <w:rPr>
          <w:rStyle w:val="Funotenzeichen"/>
        </w:rPr>
        <w:footnoteRef/>
      </w:r>
      <w:r>
        <w:t xml:space="preserve"> </w:t>
      </w:r>
      <w:r w:rsidR="00E51FDA" w:rsidRPr="00E51FDA">
        <w:t xml:space="preserve">ENIL 2025. Advocacy Campaign for Inclusive Employment takes shape. </w:t>
      </w:r>
      <w:hyperlink r:id="rId2" w:history="1">
        <w:r w:rsidR="00E51FDA" w:rsidRPr="00E51FDA">
          <w:rPr>
            <w:rStyle w:val="Hyperlink"/>
          </w:rPr>
          <w:t>https://enil.eu/advocacy-campaign-for-inclusive-employment-takes-shape/</w:t>
        </w:r>
      </w:hyperlink>
    </w:p>
  </w:footnote>
  <w:footnote w:id="3">
    <w:p w14:paraId="442C6639" w14:textId="0958ED66" w:rsidR="008B420E" w:rsidRPr="008B420E" w:rsidRDefault="008B420E">
      <w:pPr>
        <w:pStyle w:val="Funotentext"/>
        <w:rPr>
          <w:lang w:val="de-DE"/>
        </w:rPr>
      </w:pPr>
      <w:r>
        <w:rPr>
          <w:rStyle w:val="Funotenzeichen"/>
        </w:rPr>
        <w:footnoteRef/>
      </w:r>
      <w:r>
        <w:t xml:space="preserve"> </w:t>
      </w:r>
      <w:r w:rsidR="001B50E1">
        <w:t xml:space="preserve">Eurostat 2025. Disability Statistics. Poverty and income inequalities. </w:t>
      </w:r>
      <w:hyperlink r:id="rId3" w:history="1">
        <w:r w:rsidR="001B50E1" w:rsidRPr="004A1204">
          <w:rPr>
            <w:rStyle w:val="Hyperlink"/>
          </w:rPr>
          <w:t>https://ec.europa.eu/eurostat/statistics-explained/index.php?title=Disability_statistics_-_poverty_and_income_inequalities</w:t>
        </w:r>
      </w:hyperlink>
    </w:p>
  </w:footnote>
  <w:footnote w:id="4">
    <w:p w14:paraId="45896801" w14:textId="167FF977" w:rsidR="008B420E" w:rsidRPr="008B420E" w:rsidRDefault="008B420E">
      <w:pPr>
        <w:pStyle w:val="Funotentext"/>
        <w:rPr>
          <w:lang w:val="de-DE"/>
        </w:rPr>
      </w:pPr>
      <w:r>
        <w:rPr>
          <w:rStyle w:val="Funotenzeichen"/>
        </w:rPr>
        <w:footnoteRef/>
      </w:r>
      <w:r>
        <w:t xml:space="preserve"> </w:t>
      </w:r>
      <w:r w:rsidR="00BE5C3B">
        <w:t xml:space="preserve">OECD 2025. </w:t>
      </w:r>
      <w:r w:rsidR="00BE5C3B" w:rsidRPr="00BC759E">
        <w:t>Combat</w:t>
      </w:r>
      <w:r w:rsidR="00BE5C3B">
        <w:t>t</w:t>
      </w:r>
      <w:r w:rsidR="00BE5C3B" w:rsidRPr="00BC759E">
        <w:t>ing Discrimination in the European Union.</w:t>
      </w:r>
      <w:r w:rsidR="00BE5C3B">
        <w:rPr>
          <w:b/>
          <w:bCs/>
        </w:rPr>
        <w:t xml:space="preserve"> </w:t>
      </w:r>
      <w:hyperlink r:id="rId4" w:history="1">
        <w:r w:rsidR="00BE5C3B" w:rsidRPr="00B57887">
          <w:rPr>
            <w:rStyle w:val="Hyperlink"/>
          </w:rPr>
          <w:t>https://www.oecd.org/en/publications/combatting-discrimination-in-the-european-union_29c2c36a-en.html</w:t>
        </w:r>
      </w:hyperlink>
    </w:p>
  </w:footnote>
  <w:footnote w:id="5">
    <w:p w14:paraId="45CC0037" w14:textId="66FFA34C" w:rsidR="003F6902" w:rsidRPr="003F6902" w:rsidRDefault="003F6902">
      <w:pPr>
        <w:pStyle w:val="Funotentext"/>
        <w:rPr>
          <w:lang w:val="de-DE"/>
        </w:rPr>
      </w:pPr>
      <w:r>
        <w:rPr>
          <w:rStyle w:val="Funotenzeichen"/>
        </w:rPr>
        <w:footnoteRef/>
      </w:r>
      <w:r>
        <w:t xml:space="preserve"> </w:t>
      </w:r>
      <w:r w:rsidR="00373066">
        <w:rPr>
          <w:lang w:val="de-DE"/>
        </w:rPr>
        <w:t xml:space="preserve">Rasmussen et al. 2025: </w:t>
      </w:r>
      <w:proofErr w:type="spellStart"/>
      <w:r w:rsidR="00373066" w:rsidRPr="006B1D1C">
        <w:t>Samfunnsøkonomisk</w:t>
      </w:r>
      <w:proofErr w:type="spellEnd"/>
      <w:r w:rsidR="00373066" w:rsidRPr="006B1D1C">
        <w:t xml:space="preserve"> analyse </w:t>
      </w:r>
      <w:proofErr w:type="spellStart"/>
      <w:r w:rsidR="00373066" w:rsidRPr="006B1D1C">
        <w:t>av</w:t>
      </w:r>
      <w:proofErr w:type="spellEnd"/>
      <w:r w:rsidR="00373066" w:rsidRPr="006B1D1C">
        <w:t xml:space="preserve"> BPA-</w:t>
      </w:r>
      <w:proofErr w:type="spellStart"/>
      <w:r w:rsidR="00373066" w:rsidRPr="006B1D1C">
        <w:t>ordningen</w:t>
      </w:r>
      <w:proofErr w:type="spellEnd"/>
      <w:r w:rsidR="00373066">
        <w:t xml:space="preserve">. </w:t>
      </w:r>
      <w:hyperlink r:id="rId5" w:history="1">
        <w:r w:rsidR="00373066" w:rsidRPr="00F27EFC">
          <w:rPr>
            <w:rStyle w:val="Hyperlink"/>
          </w:rPr>
          <w:t>https://www.vista-analyse.no/no/publikasjoner/samfunnsokonomisk-analyse-av-bpa-ordningen/</w:t>
        </w:r>
      </w:hyperlink>
    </w:p>
  </w:footnote>
  <w:footnote w:id="6">
    <w:p w14:paraId="6E947E52" w14:textId="77777777" w:rsidR="005B2A0D" w:rsidRDefault="008B420E" w:rsidP="005B2A0D">
      <w:pPr>
        <w:pStyle w:val="Funotentext"/>
      </w:pPr>
      <w:r>
        <w:rPr>
          <w:rStyle w:val="Funotenzeichen"/>
        </w:rPr>
        <w:footnoteRef/>
      </w:r>
      <w:r>
        <w:t xml:space="preserve"> </w:t>
      </w:r>
      <w:r w:rsidR="005B2A0D">
        <w:t xml:space="preserve">Compare: ENIL 2024. </w:t>
      </w:r>
      <w:r w:rsidR="005B2A0D" w:rsidRPr="0035563D">
        <w:rPr>
          <w:lang/>
        </w:rPr>
        <w:t>Summary report – Independent Living Survey 2024: Disabled People’s Perceptions of Independent Living in Europe.</w:t>
      </w:r>
      <w:r w:rsidR="005B2A0D">
        <w:rPr>
          <w:b/>
          <w:bCs/>
          <w:lang/>
        </w:rPr>
        <w:t xml:space="preserve"> </w:t>
      </w:r>
      <w:hyperlink r:id="rId6" w:history="1">
        <w:r w:rsidR="005B2A0D" w:rsidRPr="00287AA0">
          <w:rPr>
            <w:rStyle w:val="Hyperlink"/>
          </w:rPr>
          <w:t>https://enil.eu/il-map/</w:t>
        </w:r>
      </w:hyperlink>
      <w:r w:rsidR="005B2A0D">
        <w:t xml:space="preserve">; ENIL 2025. New policy pathways for the labour market inclusion of disabled people. </w:t>
      </w:r>
      <w:hyperlink r:id="rId7" w:history="1">
        <w:r w:rsidR="005B2A0D" w:rsidRPr="00287AA0">
          <w:rPr>
            <w:rStyle w:val="Hyperlink"/>
          </w:rPr>
          <w:t>https://enil.eu/wp-content/uploads/2025/10/New-policy-pathways-for-the-labour-market-inclusion-of-disabled-people.pdf</w:t>
        </w:r>
      </w:hyperlink>
      <w:r w:rsidR="005B2A0D">
        <w:t xml:space="preserve">; ENIL 2025. Independent Living Roadmap. </w:t>
      </w:r>
      <w:hyperlink r:id="rId8" w:history="1">
        <w:r w:rsidR="005B2A0D" w:rsidRPr="00287AA0">
          <w:rPr>
            <w:rStyle w:val="Hyperlink"/>
          </w:rPr>
          <w:t>https://enil.eu/wp-content/uploads/2026/01/A-roadmap-on-Independent-Living.pdf</w:t>
        </w:r>
      </w:hyperlink>
      <w:r w:rsidR="005B2A0D">
        <w:t xml:space="preserve"> </w:t>
      </w:r>
    </w:p>
    <w:p w14:paraId="5FB5027A" w14:textId="51BF0474" w:rsidR="008B420E" w:rsidRPr="008B420E" w:rsidRDefault="008B420E">
      <w:pPr>
        <w:pStyle w:val="Funotentext"/>
        <w:rPr>
          <w:lang w:val="de-DE"/>
        </w:rPr>
      </w:pPr>
    </w:p>
  </w:footnote>
  <w:footnote w:id="7">
    <w:p w14:paraId="305C8065" w14:textId="77777777" w:rsidR="00CD08D1" w:rsidRPr="00077579" w:rsidRDefault="00CD08D1" w:rsidP="00CD08D1">
      <w:pPr>
        <w:pStyle w:val="Funotentext"/>
        <w:rPr>
          <w:lang w:val="de-DE"/>
        </w:rPr>
      </w:pPr>
      <w:r>
        <w:rPr>
          <w:rStyle w:val="Funotenzeichen"/>
        </w:rPr>
        <w:footnoteRef/>
      </w:r>
      <w:r>
        <w:t xml:space="preserve"> ENIL 2026. </w:t>
      </w:r>
    </w:p>
  </w:footnote>
  <w:footnote w:id="8">
    <w:p w14:paraId="6208F39C" w14:textId="77777777" w:rsidR="00BE79EA" w:rsidRPr="002414A1" w:rsidRDefault="00BE79EA" w:rsidP="00BE79EA">
      <w:pPr>
        <w:pStyle w:val="Funotentext"/>
        <w:rPr>
          <w:lang w:val="de-DE"/>
        </w:rPr>
      </w:pPr>
      <w:r>
        <w:rPr>
          <w:rStyle w:val="Funotenzeichen"/>
        </w:rPr>
        <w:footnoteRef/>
      </w:r>
      <w:r>
        <w:t xml:space="preserve"> European Commission 2025. Study on alternative employment models for persons with disabilities. </w:t>
      </w:r>
      <w:hyperlink r:id="rId9" w:history="1">
        <w:r w:rsidRPr="00B57887">
          <w:rPr>
            <w:rStyle w:val="Hyperlink"/>
          </w:rPr>
          <w:t>https://op.europa.eu/cs/publication-detail/-/publication/1cc9efd9-1b5d-11f0-b1a3-01aa75ed71a1/language-en</w:t>
        </w:r>
      </w:hyperlink>
    </w:p>
  </w:footnote>
  <w:footnote w:id="9">
    <w:p w14:paraId="0C768ACE" w14:textId="77777777" w:rsidR="00BE79EA" w:rsidRPr="00E26FB5" w:rsidRDefault="00BE79EA" w:rsidP="00BE79EA">
      <w:pPr>
        <w:pStyle w:val="Funotentext"/>
        <w:tabs>
          <w:tab w:val="left" w:pos="1546"/>
        </w:tabs>
        <w:rPr>
          <w:lang w:val="de-DE"/>
        </w:rPr>
      </w:pPr>
      <w:r>
        <w:rPr>
          <w:rStyle w:val="Funotenzeichen"/>
        </w:rPr>
        <w:footnoteRef/>
      </w:r>
      <w:r>
        <w:t xml:space="preserve"> </w:t>
      </w:r>
      <w:proofErr w:type="spellStart"/>
      <w:r>
        <w:t>Eurofound</w:t>
      </w:r>
      <w:proofErr w:type="spellEnd"/>
      <w:r>
        <w:t xml:space="preserve"> 2021. </w:t>
      </w:r>
      <w:r w:rsidRPr="00F53737">
        <w:rPr>
          <w:lang/>
        </w:rPr>
        <w:t>Disability and labour market integration: Policy trends and support in EU Member States</w:t>
      </w:r>
      <w:r>
        <w:t xml:space="preserve"> </w:t>
      </w:r>
      <w:hyperlink r:id="rId10" w:history="1">
        <w:r w:rsidRPr="00C730D2">
          <w:rPr>
            <w:rStyle w:val="Hyperlink"/>
          </w:rPr>
          <w:t>https://www.eurofound.europa.eu/en/publications/all/disability-and-labour-market-integration-policy-trends-and-support-eu-member</w:t>
        </w:r>
      </w:hyperlink>
    </w:p>
  </w:footnote>
  <w:footnote w:id="10">
    <w:p w14:paraId="3AB7C03A" w14:textId="77777777" w:rsidR="00BE79EA" w:rsidRPr="00B2479D" w:rsidRDefault="00BE79EA" w:rsidP="00BE79EA">
      <w:pPr>
        <w:pStyle w:val="Funotentext"/>
        <w:rPr>
          <w:lang w:val="de-DE"/>
        </w:rPr>
      </w:pPr>
      <w:r>
        <w:rPr>
          <w:rStyle w:val="Funotenzeichen"/>
        </w:rPr>
        <w:footnoteRef/>
      </w:r>
      <w:r>
        <w:t xml:space="preserve"> European Union. EUR Lex. General Block Exemption Regulation. </w:t>
      </w:r>
      <w:hyperlink r:id="rId11" w:history="1">
        <w:r w:rsidRPr="00E640A9">
          <w:rPr>
            <w:rStyle w:val="Hyperlink"/>
          </w:rPr>
          <w:t>https://eur-lex.europa.eu/legal-content/EN/TXT/?uri=legissum:0802_4</w:t>
        </w:r>
      </w:hyperlink>
      <w:r>
        <w:t xml:space="preserve"> </w:t>
      </w:r>
    </w:p>
  </w:footnote>
  <w:footnote w:id="11">
    <w:p w14:paraId="36563E2C" w14:textId="77777777" w:rsidR="00BE79EA" w:rsidRPr="002D6A28" w:rsidRDefault="00BE79EA" w:rsidP="00BE79EA">
      <w:pPr>
        <w:pStyle w:val="Funotentext"/>
        <w:rPr>
          <w:lang w:val="de-DE"/>
        </w:rPr>
      </w:pPr>
      <w:r>
        <w:rPr>
          <w:rStyle w:val="Funotenzeichen"/>
        </w:rPr>
        <w:footnoteRef/>
      </w:r>
      <w:r>
        <w:t xml:space="preserve"> European Commission 2025. Alternative employment models. P. 41</w:t>
      </w:r>
    </w:p>
  </w:footnote>
  <w:footnote w:id="12">
    <w:p w14:paraId="259BF44E" w14:textId="77777777" w:rsidR="00BE79EA" w:rsidRPr="00E26629" w:rsidRDefault="00BE79EA" w:rsidP="00BE79EA">
      <w:pPr>
        <w:pStyle w:val="Funotentext"/>
        <w:rPr>
          <w:b/>
          <w:bCs/>
          <w:lang/>
        </w:rPr>
      </w:pPr>
      <w:r>
        <w:rPr>
          <w:rStyle w:val="Funotenzeichen"/>
        </w:rPr>
        <w:footnoteRef/>
      </w:r>
      <w:r>
        <w:t xml:space="preserve"> EASPD 2023. </w:t>
      </w:r>
      <w:r w:rsidRPr="00E26629">
        <w:rPr>
          <w:lang/>
        </w:rPr>
        <w:t>Fostering Employment through Sheltered Workshops: Reality, Trends and Next Steps</w:t>
      </w:r>
      <w:r>
        <w:rPr>
          <w:b/>
          <w:bCs/>
          <w:lang/>
        </w:rPr>
        <w:t xml:space="preserve"> </w:t>
      </w:r>
      <w:hyperlink r:id="rId12" w:history="1">
        <w:r w:rsidRPr="00E640A9">
          <w:rPr>
            <w:rStyle w:val="Hyperlink"/>
          </w:rPr>
          <w:t>https://easpd.eu/resources-detail/fostering-employment-through-sheltered-workshops-reality-trends-and-next-steps/</w:t>
        </w:r>
      </w:hyperlink>
      <w:r>
        <w:t xml:space="preserve"> </w:t>
      </w:r>
    </w:p>
  </w:footnote>
  <w:footnote w:id="13">
    <w:p w14:paraId="6AF81166" w14:textId="77777777" w:rsidR="00BE79EA" w:rsidRPr="00074E21" w:rsidRDefault="00BE79EA" w:rsidP="00BE79EA">
      <w:pPr>
        <w:pStyle w:val="Funotentext"/>
        <w:rPr>
          <w:lang w:val="de-DE"/>
        </w:rPr>
      </w:pPr>
      <w:r>
        <w:rPr>
          <w:rStyle w:val="Funotenzeichen"/>
        </w:rPr>
        <w:footnoteRef/>
      </w:r>
      <w:r>
        <w:t xml:space="preserve"> </w:t>
      </w:r>
      <w:hyperlink r:id="rId13" w:history="1">
        <w:r w:rsidRPr="00E640A9">
          <w:rPr>
            <w:rStyle w:val="Hyperlink"/>
          </w:rPr>
          <w:t>https://competition-policy.ec.europa.eu/public-consultations/2026-gber_en</w:t>
        </w:r>
      </w:hyperlink>
      <w:r>
        <w:t xml:space="preserve"> </w:t>
      </w:r>
    </w:p>
  </w:footnote>
  <w:footnote w:id="14">
    <w:p w14:paraId="49C077AE" w14:textId="77777777" w:rsidR="00BE79EA" w:rsidRPr="00F27FF4" w:rsidRDefault="00BE79EA" w:rsidP="00BE79EA">
      <w:pPr>
        <w:pStyle w:val="Funotentext"/>
        <w:rPr>
          <w:b/>
          <w:bCs/>
          <w:lang/>
        </w:rPr>
      </w:pPr>
      <w:r>
        <w:rPr>
          <w:rStyle w:val="Funotenzeichen"/>
        </w:rPr>
        <w:footnoteRef/>
      </w:r>
      <w:r>
        <w:t xml:space="preserve"> </w:t>
      </w:r>
      <w:r w:rsidRPr="00F27FF4">
        <w:t>C</w:t>
      </w:r>
      <w:r w:rsidRPr="00F27FF4">
        <w:rPr>
          <w:lang/>
        </w:rPr>
        <w:t xml:space="preserve">ommission expert groups in State aid: Advisory Committees and Multilateral Meetings. </w:t>
      </w:r>
      <w:hyperlink r:id="rId14" w:history="1">
        <w:r w:rsidRPr="00E640A9">
          <w:rPr>
            <w:rStyle w:val="Hyperlink"/>
          </w:rPr>
          <w:t>https://competition-policy.ec.europa.eu/state-aid/legislation/commission-expert-groups-state-aid_en</w:t>
        </w:r>
      </w:hyperlink>
      <w:r>
        <w:t xml:space="preserve"> </w:t>
      </w:r>
    </w:p>
  </w:footnote>
  <w:footnote w:id="15">
    <w:p w14:paraId="77BC3157" w14:textId="77777777" w:rsidR="00BE79EA" w:rsidRPr="007A461E" w:rsidRDefault="00BE79EA" w:rsidP="00BE79EA">
      <w:pPr>
        <w:pStyle w:val="Funotentext"/>
        <w:rPr>
          <w:lang w:val="de-DE"/>
        </w:rPr>
      </w:pPr>
      <w:r>
        <w:rPr>
          <w:rStyle w:val="Funotenzeichen"/>
        </w:rPr>
        <w:footnoteRef/>
      </w:r>
      <w:r>
        <w:t xml:space="preserve"> </w:t>
      </w:r>
      <w:hyperlink r:id="rId15" w:history="1">
        <w:r w:rsidRPr="00E640A9">
          <w:rPr>
            <w:rStyle w:val="Hyperlink"/>
          </w:rPr>
          <w:t>https://competition-policy.ec.europa.eu/document/download/13d86416-7f23-466e-83aa-0af8105b72d2_en?filename=empty_file_en.pdf</w:t>
        </w:r>
      </w:hyperlink>
      <w:r>
        <w:t xml:space="preserve"> </w:t>
      </w:r>
    </w:p>
  </w:footnote>
  <w:footnote w:id="16">
    <w:p w14:paraId="09BDBC5D" w14:textId="77777777" w:rsidR="00BE79EA" w:rsidRPr="00BF43D7" w:rsidRDefault="00BE79EA" w:rsidP="00BE79EA">
      <w:pPr>
        <w:pStyle w:val="Funotentext"/>
        <w:rPr>
          <w:lang/>
        </w:rPr>
      </w:pPr>
      <w:r>
        <w:rPr>
          <w:rStyle w:val="Funotenzeichen"/>
        </w:rPr>
        <w:footnoteRef/>
      </w:r>
      <w:r>
        <w:t xml:space="preserve"> Comp. ENIL 2024. </w:t>
      </w:r>
      <w:r w:rsidRPr="002E4FC8">
        <w:rPr>
          <w:lang/>
        </w:rPr>
        <w:t>Reforming EU State Aid law to restrict subsidies to sheltered workshops</w:t>
      </w:r>
      <w:r>
        <w:rPr>
          <w:b/>
          <w:bCs/>
          <w:lang/>
        </w:rPr>
        <w:t xml:space="preserve">. </w:t>
      </w:r>
      <w:hyperlink r:id="rId16" w:history="1">
        <w:r w:rsidRPr="00E640A9">
          <w:rPr>
            <w:rStyle w:val="Hyperlink"/>
            <w:lang/>
          </w:rPr>
          <w:t>https://enil.eu/reforming-eu-state-aid-law-to-restrict-subsidies-to-sheltered-workshops/</w:t>
        </w:r>
      </w:hyperlink>
      <w:r>
        <w:rPr>
          <w:lang/>
        </w:rPr>
        <w:t xml:space="preserve">; ENIL 2025. </w:t>
      </w:r>
      <w:r w:rsidRPr="00BF43D7">
        <w:rPr>
          <w:lang/>
        </w:rPr>
        <w:t>New policy pathways</w:t>
      </w:r>
      <w:r>
        <w:rPr>
          <w:lang/>
        </w:rPr>
        <w:t xml:space="preserve"> </w:t>
      </w:r>
      <w:r w:rsidRPr="00BF43D7">
        <w:rPr>
          <w:lang/>
        </w:rPr>
        <w:t>for the labour market</w:t>
      </w:r>
      <w:r>
        <w:rPr>
          <w:lang/>
        </w:rPr>
        <w:t xml:space="preserve"> </w:t>
      </w:r>
      <w:r w:rsidRPr="00BF43D7">
        <w:rPr>
          <w:lang/>
        </w:rPr>
        <w:t>inclusion of disabled</w:t>
      </w:r>
      <w:r>
        <w:rPr>
          <w:lang/>
        </w:rPr>
        <w:t xml:space="preserve"> </w:t>
      </w:r>
      <w:r w:rsidRPr="00BF43D7">
        <w:rPr>
          <w:lang/>
        </w:rPr>
        <w:t xml:space="preserve">people </w:t>
      </w:r>
      <w:hyperlink r:id="rId17" w:history="1">
        <w:r w:rsidRPr="00E640A9">
          <w:rPr>
            <w:rStyle w:val="Hyperlink"/>
            <w:lang/>
          </w:rPr>
          <w:t>https://enil.eu/wp-content/uploads/2025/10/New-policy-pathways-for-the-labour-market-inclusion-of-disabled-people.pdf</w:t>
        </w:r>
      </w:hyperlink>
      <w:r>
        <w:rPr>
          <w:lang/>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80" w:rightFromText="180" w:vertAnchor="text" w:horzAnchor="margin" w:tblpY="1"/>
      <w:tblOverlap w:val="never"/>
      <w:tblW w:w="18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505"/>
      <w:gridCol w:w="8505"/>
    </w:tblGrid>
    <w:tr w:rsidR="00715DE4" w:rsidRPr="003F1FCF" w14:paraId="60F10B84" w14:textId="2DD890D5" w:rsidTr="00715DE4">
      <w:trPr>
        <w:trHeight w:val="983"/>
      </w:trPr>
      <w:tc>
        <w:tcPr>
          <w:tcW w:w="1555" w:type="dxa"/>
        </w:tcPr>
        <w:p w14:paraId="57CD9754" w14:textId="77777777" w:rsidR="00715DE4" w:rsidRPr="003F1FCF" w:rsidRDefault="00715DE4" w:rsidP="00E73EAC">
          <w:pPr>
            <w:spacing w:after="160" w:line="259" w:lineRule="auto"/>
            <w:ind w:left="0" w:firstLine="0"/>
            <w:jc w:val="left"/>
          </w:pPr>
          <w:r w:rsidRPr="003F1FCF">
            <w:rPr>
              <w:noProof/>
            </w:rPr>
            <w:drawing>
              <wp:inline distT="0" distB="0" distL="0" distR="0" wp14:anchorId="1A53AF42" wp14:editId="17772476">
                <wp:extent cx="734378" cy="734692"/>
                <wp:effectExtent l="0" t="0" r="8890" b="8890"/>
                <wp:docPr id="682404211" name="Grafik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79943" name="Grafik 967379943"/>
                        <pic:cNvPicPr/>
                      </pic:nvPicPr>
                      <pic:blipFill>
                        <a:blip r:embed="rId1">
                          <a:extLst>
                            <a:ext uri="{28A0092B-C50C-407E-A947-70E740481C1C}">
                              <a14:useLocalDpi xmlns:a14="http://schemas.microsoft.com/office/drawing/2010/main" val="0"/>
                            </a:ext>
                          </a:extLst>
                        </a:blip>
                        <a:stretch>
                          <a:fillRect/>
                        </a:stretch>
                      </pic:blipFill>
                      <pic:spPr>
                        <a:xfrm>
                          <a:off x="0" y="0"/>
                          <a:ext cx="775315" cy="775646"/>
                        </a:xfrm>
                        <a:prstGeom prst="rect">
                          <a:avLst/>
                        </a:prstGeom>
                      </pic:spPr>
                    </pic:pic>
                  </a:graphicData>
                </a:graphic>
              </wp:inline>
            </w:drawing>
          </w:r>
        </w:p>
      </w:tc>
      <w:tc>
        <w:tcPr>
          <w:tcW w:w="8505" w:type="dxa"/>
        </w:tcPr>
        <w:p w14:paraId="0533583F" w14:textId="77777777" w:rsidR="00715DE4" w:rsidRPr="005A4511" w:rsidRDefault="00715DE4" w:rsidP="00E73EAC">
          <w:pPr>
            <w:spacing w:after="160" w:line="259" w:lineRule="auto"/>
            <w:ind w:left="0" w:firstLine="0"/>
            <w:jc w:val="left"/>
            <w:rPr>
              <w:sz w:val="28"/>
              <w:szCs w:val="14"/>
            </w:rPr>
          </w:pPr>
        </w:p>
        <w:p w14:paraId="1DCD1D7D" w14:textId="623420B7" w:rsidR="00715DE4" w:rsidRPr="005A4511" w:rsidRDefault="00715DE4" w:rsidP="00E73EAC">
          <w:pPr>
            <w:spacing w:after="160" w:line="259" w:lineRule="auto"/>
            <w:ind w:left="0" w:firstLine="0"/>
            <w:jc w:val="left"/>
            <w:rPr>
              <w:b/>
              <w:bCs/>
              <w:sz w:val="28"/>
              <w:szCs w:val="14"/>
            </w:rPr>
          </w:pPr>
          <w:r w:rsidRPr="005A4511">
            <w:rPr>
              <w:b/>
              <w:bCs/>
              <w:color w:val="355585"/>
              <w:sz w:val="28"/>
              <w:szCs w:val="14"/>
            </w:rPr>
            <w:t xml:space="preserve">European Network on Independent Living </w:t>
          </w:r>
        </w:p>
      </w:tc>
      <w:tc>
        <w:tcPr>
          <w:tcW w:w="8505" w:type="dxa"/>
        </w:tcPr>
        <w:p w14:paraId="68391238" w14:textId="77777777" w:rsidR="00715DE4" w:rsidRPr="003F1FCF" w:rsidRDefault="00715DE4" w:rsidP="00E73EAC">
          <w:pPr>
            <w:spacing w:after="160" w:line="259" w:lineRule="auto"/>
            <w:ind w:left="0" w:firstLine="0"/>
            <w:jc w:val="left"/>
          </w:pPr>
        </w:p>
      </w:tc>
    </w:tr>
  </w:tbl>
  <w:p w14:paraId="143056F7" w14:textId="34E6921A" w:rsidR="00E73EAC" w:rsidRPr="003F1FCF" w:rsidRDefault="00715DE4" w:rsidP="00DC1492">
    <w:pPr>
      <w:pStyle w:val="Kopfzeile"/>
      <w:tabs>
        <w:tab w:val="left" w:pos="4032"/>
      </w:tabs>
    </w:pPr>
    <w:r w:rsidRPr="003F1FCF">
      <w:tab/>
    </w:r>
    <w:r w:rsidRPr="003F1FCF">
      <w:tab/>
    </w:r>
    <w:r w:rsidR="00DC1492" w:rsidRPr="003F1FCF">
      <w:tab/>
    </w:r>
    <w:r w:rsidRPr="003F1FC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29A"/>
    <w:multiLevelType w:val="hybridMultilevel"/>
    <w:tmpl w:val="325A1AB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896E91"/>
    <w:multiLevelType w:val="hybridMultilevel"/>
    <w:tmpl w:val="FF32B34C"/>
    <w:lvl w:ilvl="0" w:tplc="17B2745C">
      <w:start w:val="1"/>
      <w:numFmt w:val="decimal"/>
      <w:pStyle w:val="berschrift1"/>
      <w:lvlText w:val="%1."/>
      <w:lvlJc w:val="left"/>
      <w:pPr>
        <w:ind w:left="0"/>
      </w:pPr>
      <w:rPr>
        <w:rFonts w:ascii="Calibri" w:eastAsia="Calibri" w:hAnsi="Calibri" w:cs="Calibri"/>
        <w:b/>
        <w:bCs/>
        <w:i w:val="0"/>
        <w:strike w:val="0"/>
        <w:dstrike w:val="0"/>
        <w:color w:val="355585"/>
        <w:sz w:val="48"/>
        <w:szCs w:val="48"/>
        <w:u w:val="none" w:color="000000"/>
        <w:bdr w:val="none" w:sz="0" w:space="0" w:color="auto"/>
        <w:shd w:val="clear" w:color="auto" w:fill="auto"/>
        <w:vertAlign w:val="baseline"/>
      </w:rPr>
    </w:lvl>
    <w:lvl w:ilvl="1" w:tplc="6E66B262">
      <w:start w:val="1"/>
      <w:numFmt w:val="lowerLetter"/>
      <w:lvlText w:val="%2"/>
      <w:lvlJc w:val="left"/>
      <w:pPr>
        <w:ind w:left="1080"/>
      </w:pPr>
      <w:rPr>
        <w:rFonts w:ascii="Calibri" w:eastAsia="Calibri" w:hAnsi="Calibri" w:cs="Calibri"/>
        <w:b/>
        <w:bCs/>
        <w:i w:val="0"/>
        <w:strike w:val="0"/>
        <w:dstrike w:val="0"/>
        <w:color w:val="355585"/>
        <w:sz w:val="48"/>
        <w:szCs w:val="48"/>
        <w:u w:val="none" w:color="000000"/>
        <w:bdr w:val="none" w:sz="0" w:space="0" w:color="auto"/>
        <w:shd w:val="clear" w:color="auto" w:fill="auto"/>
        <w:vertAlign w:val="baseline"/>
      </w:rPr>
    </w:lvl>
    <w:lvl w:ilvl="2" w:tplc="06565636">
      <w:start w:val="1"/>
      <w:numFmt w:val="lowerRoman"/>
      <w:lvlText w:val="%3"/>
      <w:lvlJc w:val="left"/>
      <w:pPr>
        <w:ind w:left="1800"/>
      </w:pPr>
      <w:rPr>
        <w:rFonts w:ascii="Calibri" w:eastAsia="Calibri" w:hAnsi="Calibri" w:cs="Calibri"/>
        <w:b/>
        <w:bCs/>
        <w:i w:val="0"/>
        <w:strike w:val="0"/>
        <w:dstrike w:val="0"/>
        <w:color w:val="355585"/>
        <w:sz w:val="48"/>
        <w:szCs w:val="48"/>
        <w:u w:val="none" w:color="000000"/>
        <w:bdr w:val="none" w:sz="0" w:space="0" w:color="auto"/>
        <w:shd w:val="clear" w:color="auto" w:fill="auto"/>
        <w:vertAlign w:val="baseline"/>
      </w:rPr>
    </w:lvl>
    <w:lvl w:ilvl="3" w:tplc="DB76B714">
      <w:start w:val="1"/>
      <w:numFmt w:val="decimal"/>
      <w:lvlText w:val="%4"/>
      <w:lvlJc w:val="left"/>
      <w:pPr>
        <w:ind w:left="2520"/>
      </w:pPr>
      <w:rPr>
        <w:rFonts w:ascii="Calibri" w:eastAsia="Calibri" w:hAnsi="Calibri" w:cs="Calibri"/>
        <w:b/>
        <w:bCs/>
        <w:i w:val="0"/>
        <w:strike w:val="0"/>
        <w:dstrike w:val="0"/>
        <w:color w:val="355585"/>
        <w:sz w:val="48"/>
        <w:szCs w:val="48"/>
        <w:u w:val="none" w:color="000000"/>
        <w:bdr w:val="none" w:sz="0" w:space="0" w:color="auto"/>
        <w:shd w:val="clear" w:color="auto" w:fill="auto"/>
        <w:vertAlign w:val="baseline"/>
      </w:rPr>
    </w:lvl>
    <w:lvl w:ilvl="4" w:tplc="337687EA">
      <w:start w:val="1"/>
      <w:numFmt w:val="lowerLetter"/>
      <w:lvlText w:val="%5"/>
      <w:lvlJc w:val="left"/>
      <w:pPr>
        <w:ind w:left="3240"/>
      </w:pPr>
      <w:rPr>
        <w:rFonts w:ascii="Calibri" w:eastAsia="Calibri" w:hAnsi="Calibri" w:cs="Calibri"/>
        <w:b/>
        <w:bCs/>
        <w:i w:val="0"/>
        <w:strike w:val="0"/>
        <w:dstrike w:val="0"/>
        <w:color w:val="355585"/>
        <w:sz w:val="48"/>
        <w:szCs w:val="48"/>
        <w:u w:val="none" w:color="000000"/>
        <w:bdr w:val="none" w:sz="0" w:space="0" w:color="auto"/>
        <w:shd w:val="clear" w:color="auto" w:fill="auto"/>
        <w:vertAlign w:val="baseline"/>
      </w:rPr>
    </w:lvl>
    <w:lvl w:ilvl="5" w:tplc="B4829310">
      <w:start w:val="1"/>
      <w:numFmt w:val="lowerRoman"/>
      <w:lvlText w:val="%6"/>
      <w:lvlJc w:val="left"/>
      <w:pPr>
        <w:ind w:left="3960"/>
      </w:pPr>
      <w:rPr>
        <w:rFonts w:ascii="Calibri" w:eastAsia="Calibri" w:hAnsi="Calibri" w:cs="Calibri"/>
        <w:b/>
        <w:bCs/>
        <w:i w:val="0"/>
        <w:strike w:val="0"/>
        <w:dstrike w:val="0"/>
        <w:color w:val="355585"/>
        <w:sz w:val="48"/>
        <w:szCs w:val="48"/>
        <w:u w:val="none" w:color="000000"/>
        <w:bdr w:val="none" w:sz="0" w:space="0" w:color="auto"/>
        <w:shd w:val="clear" w:color="auto" w:fill="auto"/>
        <w:vertAlign w:val="baseline"/>
      </w:rPr>
    </w:lvl>
    <w:lvl w:ilvl="6" w:tplc="59184104">
      <w:start w:val="1"/>
      <w:numFmt w:val="decimal"/>
      <w:lvlText w:val="%7"/>
      <w:lvlJc w:val="left"/>
      <w:pPr>
        <w:ind w:left="4680"/>
      </w:pPr>
      <w:rPr>
        <w:rFonts w:ascii="Calibri" w:eastAsia="Calibri" w:hAnsi="Calibri" w:cs="Calibri"/>
        <w:b/>
        <w:bCs/>
        <w:i w:val="0"/>
        <w:strike w:val="0"/>
        <w:dstrike w:val="0"/>
        <w:color w:val="355585"/>
        <w:sz w:val="48"/>
        <w:szCs w:val="48"/>
        <w:u w:val="none" w:color="000000"/>
        <w:bdr w:val="none" w:sz="0" w:space="0" w:color="auto"/>
        <w:shd w:val="clear" w:color="auto" w:fill="auto"/>
        <w:vertAlign w:val="baseline"/>
      </w:rPr>
    </w:lvl>
    <w:lvl w:ilvl="7" w:tplc="930A8294">
      <w:start w:val="1"/>
      <w:numFmt w:val="lowerLetter"/>
      <w:lvlText w:val="%8"/>
      <w:lvlJc w:val="left"/>
      <w:pPr>
        <w:ind w:left="5400"/>
      </w:pPr>
      <w:rPr>
        <w:rFonts w:ascii="Calibri" w:eastAsia="Calibri" w:hAnsi="Calibri" w:cs="Calibri"/>
        <w:b/>
        <w:bCs/>
        <w:i w:val="0"/>
        <w:strike w:val="0"/>
        <w:dstrike w:val="0"/>
        <w:color w:val="355585"/>
        <w:sz w:val="48"/>
        <w:szCs w:val="48"/>
        <w:u w:val="none" w:color="000000"/>
        <w:bdr w:val="none" w:sz="0" w:space="0" w:color="auto"/>
        <w:shd w:val="clear" w:color="auto" w:fill="auto"/>
        <w:vertAlign w:val="baseline"/>
      </w:rPr>
    </w:lvl>
    <w:lvl w:ilvl="8" w:tplc="DCAEA85E">
      <w:start w:val="1"/>
      <w:numFmt w:val="lowerRoman"/>
      <w:lvlText w:val="%9"/>
      <w:lvlJc w:val="left"/>
      <w:pPr>
        <w:ind w:left="6120"/>
      </w:pPr>
      <w:rPr>
        <w:rFonts w:ascii="Calibri" w:eastAsia="Calibri" w:hAnsi="Calibri" w:cs="Calibri"/>
        <w:b/>
        <w:bCs/>
        <w:i w:val="0"/>
        <w:strike w:val="0"/>
        <w:dstrike w:val="0"/>
        <w:color w:val="355585"/>
        <w:sz w:val="48"/>
        <w:szCs w:val="48"/>
        <w:u w:val="none" w:color="000000"/>
        <w:bdr w:val="none" w:sz="0" w:space="0" w:color="auto"/>
        <w:shd w:val="clear" w:color="auto" w:fill="auto"/>
        <w:vertAlign w:val="baseline"/>
      </w:rPr>
    </w:lvl>
  </w:abstractNum>
  <w:abstractNum w:abstractNumId="2" w15:restartNumberingAfterBreak="0">
    <w:nsid w:val="1DEC126D"/>
    <w:multiLevelType w:val="hybridMultilevel"/>
    <w:tmpl w:val="0B88A980"/>
    <w:lvl w:ilvl="0" w:tplc="56D23C42">
      <w:numFmt w:val="bullet"/>
      <w:lvlText w:val="-"/>
      <w:lvlJc w:val="left"/>
      <w:pPr>
        <w:ind w:left="1080" w:hanging="72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F3062A2"/>
    <w:multiLevelType w:val="hybridMultilevel"/>
    <w:tmpl w:val="51D4A6BC"/>
    <w:lvl w:ilvl="0" w:tplc="07989F3E">
      <w:start w:val="1"/>
      <w:numFmt w:val="bullet"/>
      <w:lvlText w:val="-"/>
      <w:lvlJc w:val="left"/>
      <w:pPr>
        <w:ind w:left="720" w:hanging="360"/>
      </w:pPr>
      <w:rPr>
        <w:rFonts w:ascii="Aptos" w:hAnsi="Aptos" w:hint="default"/>
      </w:rPr>
    </w:lvl>
    <w:lvl w:ilvl="1" w:tplc="AE22EF96">
      <w:start w:val="1"/>
      <w:numFmt w:val="bullet"/>
      <w:lvlText w:val="o"/>
      <w:lvlJc w:val="left"/>
      <w:pPr>
        <w:ind w:left="1440" w:hanging="360"/>
      </w:pPr>
      <w:rPr>
        <w:rFonts w:ascii="Courier New" w:hAnsi="Courier New" w:hint="default"/>
      </w:rPr>
    </w:lvl>
    <w:lvl w:ilvl="2" w:tplc="FD148292">
      <w:start w:val="1"/>
      <w:numFmt w:val="bullet"/>
      <w:lvlText w:val=""/>
      <w:lvlJc w:val="left"/>
      <w:pPr>
        <w:ind w:left="2160" w:hanging="360"/>
      </w:pPr>
      <w:rPr>
        <w:rFonts w:ascii="Wingdings" w:hAnsi="Wingdings" w:hint="default"/>
      </w:rPr>
    </w:lvl>
    <w:lvl w:ilvl="3" w:tplc="8B3874CA">
      <w:start w:val="1"/>
      <w:numFmt w:val="bullet"/>
      <w:lvlText w:val=""/>
      <w:lvlJc w:val="left"/>
      <w:pPr>
        <w:ind w:left="2880" w:hanging="360"/>
      </w:pPr>
      <w:rPr>
        <w:rFonts w:ascii="Symbol" w:hAnsi="Symbol" w:hint="default"/>
      </w:rPr>
    </w:lvl>
    <w:lvl w:ilvl="4" w:tplc="C6843A80">
      <w:start w:val="1"/>
      <w:numFmt w:val="bullet"/>
      <w:lvlText w:val="o"/>
      <w:lvlJc w:val="left"/>
      <w:pPr>
        <w:ind w:left="3600" w:hanging="360"/>
      </w:pPr>
      <w:rPr>
        <w:rFonts w:ascii="Courier New" w:hAnsi="Courier New" w:hint="default"/>
      </w:rPr>
    </w:lvl>
    <w:lvl w:ilvl="5" w:tplc="9EEA1598">
      <w:start w:val="1"/>
      <w:numFmt w:val="bullet"/>
      <w:lvlText w:val=""/>
      <w:lvlJc w:val="left"/>
      <w:pPr>
        <w:ind w:left="4320" w:hanging="360"/>
      </w:pPr>
      <w:rPr>
        <w:rFonts w:ascii="Wingdings" w:hAnsi="Wingdings" w:hint="default"/>
      </w:rPr>
    </w:lvl>
    <w:lvl w:ilvl="6" w:tplc="CE621766">
      <w:start w:val="1"/>
      <w:numFmt w:val="bullet"/>
      <w:lvlText w:val=""/>
      <w:lvlJc w:val="left"/>
      <w:pPr>
        <w:ind w:left="5040" w:hanging="360"/>
      </w:pPr>
      <w:rPr>
        <w:rFonts w:ascii="Symbol" w:hAnsi="Symbol" w:hint="default"/>
      </w:rPr>
    </w:lvl>
    <w:lvl w:ilvl="7" w:tplc="FEBC2796">
      <w:start w:val="1"/>
      <w:numFmt w:val="bullet"/>
      <w:lvlText w:val="o"/>
      <w:lvlJc w:val="left"/>
      <w:pPr>
        <w:ind w:left="5760" w:hanging="360"/>
      </w:pPr>
      <w:rPr>
        <w:rFonts w:ascii="Courier New" w:hAnsi="Courier New" w:hint="default"/>
      </w:rPr>
    </w:lvl>
    <w:lvl w:ilvl="8" w:tplc="0CD004D0">
      <w:start w:val="1"/>
      <w:numFmt w:val="bullet"/>
      <w:lvlText w:val=""/>
      <w:lvlJc w:val="left"/>
      <w:pPr>
        <w:ind w:left="6480" w:hanging="360"/>
      </w:pPr>
      <w:rPr>
        <w:rFonts w:ascii="Wingdings" w:hAnsi="Wingdings" w:hint="default"/>
      </w:rPr>
    </w:lvl>
  </w:abstractNum>
  <w:abstractNum w:abstractNumId="4" w15:restartNumberingAfterBreak="0">
    <w:nsid w:val="287A77F4"/>
    <w:multiLevelType w:val="hybridMultilevel"/>
    <w:tmpl w:val="2FE27D98"/>
    <w:lvl w:ilvl="0" w:tplc="B46E6744">
      <w:start w:val="1"/>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D060AA0"/>
    <w:multiLevelType w:val="hybridMultilevel"/>
    <w:tmpl w:val="4CB2B36E"/>
    <w:lvl w:ilvl="0" w:tplc="FB06BA18">
      <w:start w:val="1"/>
      <w:numFmt w:val="bullet"/>
      <w:lvlText w:val="-"/>
      <w:lvlJc w:val="left"/>
      <w:pPr>
        <w:ind w:left="720" w:hanging="360"/>
      </w:pPr>
      <w:rPr>
        <w:rFonts w:ascii="Aptos" w:hAnsi="Aptos" w:hint="default"/>
      </w:rPr>
    </w:lvl>
    <w:lvl w:ilvl="1" w:tplc="CD7CC2CE">
      <w:start w:val="1"/>
      <w:numFmt w:val="bullet"/>
      <w:lvlText w:val="o"/>
      <w:lvlJc w:val="left"/>
      <w:pPr>
        <w:ind w:left="1440" w:hanging="360"/>
      </w:pPr>
      <w:rPr>
        <w:rFonts w:ascii="Courier New" w:hAnsi="Courier New" w:hint="default"/>
      </w:rPr>
    </w:lvl>
    <w:lvl w:ilvl="2" w:tplc="F9EEC83C">
      <w:start w:val="1"/>
      <w:numFmt w:val="bullet"/>
      <w:lvlText w:val=""/>
      <w:lvlJc w:val="left"/>
      <w:pPr>
        <w:ind w:left="2160" w:hanging="360"/>
      </w:pPr>
      <w:rPr>
        <w:rFonts w:ascii="Wingdings" w:hAnsi="Wingdings" w:hint="default"/>
      </w:rPr>
    </w:lvl>
    <w:lvl w:ilvl="3" w:tplc="643E3566">
      <w:start w:val="1"/>
      <w:numFmt w:val="bullet"/>
      <w:lvlText w:val=""/>
      <w:lvlJc w:val="left"/>
      <w:pPr>
        <w:ind w:left="2880" w:hanging="360"/>
      </w:pPr>
      <w:rPr>
        <w:rFonts w:ascii="Symbol" w:hAnsi="Symbol" w:hint="default"/>
      </w:rPr>
    </w:lvl>
    <w:lvl w:ilvl="4" w:tplc="DC3222EA">
      <w:start w:val="1"/>
      <w:numFmt w:val="bullet"/>
      <w:lvlText w:val="o"/>
      <w:lvlJc w:val="left"/>
      <w:pPr>
        <w:ind w:left="3600" w:hanging="360"/>
      </w:pPr>
      <w:rPr>
        <w:rFonts w:ascii="Courier New" w:hAnsi="Courier New" w:hint="default"/>
      </w:rPr>
    </w:lvl>
    <w:lvl w:ilvl="5" w:tplc="E084E3AC">
      <w:start w:val="1"/>
      <w:numFmt w:val="bullet"/>
      <w:lvlText w:val=""/>
      <w:lvlJc w:val="left"/>
      <w:pPr>
        <w:ind w:left="4320" w:hanging="360"/>
      </w:pPr>
      <w:rPr>
        <w:rFonts w:ascii="Wingdings" w:hAnsi="Wingdings" w:hint="default"/>
      </w:rPr>
    </w:lvl>
    <w:lvl w:ilvl="6" w:tplc="BADAE18E">
      <w:start w:val="1"/>
      <w:numFmt w:val="bullet"/>
      <w:lvlText w:val=""/>
      <w:lvlJc w:val="left"/>
      <w:pPr>
        <w:ind w:left="5040" w:hanging="360"/>
      </w:pPr>
      <w:rPr>
        <w:rFonts w:ascii="Symbol" w:hAnsi="Symbol" w:hint="default"/>
      </w:rPr>
    </w:lvl>
    <w:lvl w:ilvl="7" w:tplc="B5B20D28">
      <w:start w:val="1"/>
      <w:numFmt w:val="bullet"/>
      <w:lvlText w:val="o"/>
      <w:lvlJc w:val="left"/>
      <w:pPr>
        <w:ind w:left="5760" w:hanging="360"/>
      </w:pPr>
      <w:rPr>
        <w:rFonts w:ascii="Courier New" w:hAnsi="Courier New" w:hint="default"/>
      </w:rPr>
    </w:lvl>
    <w:lvl w:ilvl="8" w:tplc="197642DA">
      <w:start w:val="1"/>
      <w:numFmt w:val="bullet"/>
      <w:lvlText w:val=""/>
      <w:lvlJc w:val="left"/>
      <w:pPr>
        <w:ind w:left="6480" w:hanging="360"/>
      </w:pPr>
      <w:rPr>
        <w:rFonts w:ascii="Wingdings" w:hAnsi="Wingdings" w:hint="default"/>
      </w:rPr>
    </w:lvl>
  </w:abstractNum>
  <w:abstractNum w:abstractNumId="6" w15:restartNumberingAfterBreak="0">
    <w:nsid w:val="308B0AA5"/>
    <w:multiLevelType w:val="hybridMultilevel"/>
    <w:tmpl w:val="9490F966"/>
    <w:lvl w:ilvl="0" w:tplc="56D23C42">
      <w:numFmt w:val="bullet"/>
      <w:lvlText w:val="-"/>
      <w:lvlJc w:val="left"/>
      <w:pPr>
        <w:ind w:left="1080" w:hanging="72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2AC7BD1"/>
    <w:multiLevelType w:val="hybridMultilevel"/>
    <w:tmpl w:val="81DC40C8"/>
    <w:lvl w:ilvl="0" w:tplc="ACF83D34">
      <w:start w:val="1"/>
      <w:numFmt w:val="bullet"/>
      <w:lvlText w:val=""/>
      <w:lvlJc w:val="left"/>
      <w:pPr>
        <w:ind w:left="720" w:hanging="360"/>
      </w:pPr>
      <w:rPr>
        <w:rFonts w:ascii="Symbol" w:hAnsi="Symbol" w:hint="default"/>
      </w:rPr>
    </w:lvl>
    <w:lvl w:ilvl="1" w:tplc="7CD475A0">
      <w:start w:val="1"/>
      <w:numFmt w:val="bullet"/>
      <w:lvlText w:val="o"/>
      <w:lvlJc w:val="left"/>
      <w:pPr>
        <w:ind w:left="1440" w:hanging="360"/>
      </w:pPr>
      <w:rPr>
        <w:rFonts w:ascii="Courier New" w:hAnsi="Courier New" w:hint="default"/>
      </w:rPr>
    </w:lvl>
    <w:lvl w:ilvl="2" w:tplc="F628DE12">
      <w:start w:val="1"/>
      <w:numFmt w:val="bullet"/>
      <w:lvlText w:val=""/>
      <w:lvlJc w:val="left"/>
      <w:pPr>
        <w:ind w:left="2160" w:hanging="360"/>
      </w:pPr>
      <w:rPr>
        <w:rFonts w:ascii="Wingdings" w:hAnsi="Wingdings" w:hint="default"/>
      </w:rPr>
    </w:lvl>
    <w:lvl w:ilvl="3" w:tplc="11C28EB4">
      <w:start w:val="1"/>
      <w:numFmt w:val="bullet"/>
      <w:lvlText w:val=""/>
      <w:lvlJc w:val="left"/>
      <w:pPr>
        <w:ind w:left="2880" w:hanging="360"/>
      </w:pPr>
      <w:rPr>
        <w:rFonts w:ascii="Symbol" w:hAnsi="Symbol" w:hint="default"/>
      </w:rPr>
    </w:lvl>
    <w:lvl w:ilvl="4" w:tplc="F8C652E2">
      <w:start w:val="1"/>
      <w:numFmt w:val="bullet"/>
      <w:lvlText w:val="o"/>
      <w:lvlJc w:val="left"/>
      <w:pPr>
        <w:ind w:left="3600" w:hanging="360"/>
      </w:pPr>
      <w:rPr>
        <w:rFonts w:ascii="Courier New" w:hAnsi="Courier New" w:hint="default"/>
      </w:rPr>
    </w:lvl>
    <w:lvl w:ilvl="5" w:tplc="4260D554">
      <w:start w:val="1"/>
      <w:numFmt w:val="bullet"/>
      <w:lvlText w:val=""/>
      <w:lvlJc w:val="left"/>
      <w:pPr>
        <w:ind w:left="4320" w:hanging="360"/>
      </w:pPr>
      <w:rPr>
        <w:rFonts w:ascii="Wingdings" w:hAnsi="Wingdings" w:hint="default"/>
      </w:rPr>
    </w:lvl>
    <w:lvl w:ilvl="6" w:tplc="867834EA">
      <w:start w:val="1"/>
      <w:numFmt w:val="bullet"/>
      <w:lvlText w:val=""/>
      <w:lvlJc w:val="left"/>
      <w:pPr>
        <w:ind w:left="5040" w:hanging="360"/>
      </w:pPr>
      <w:rPr>
        <w:rFonts w:ascii="Symbol" w:hAnsi="Symbol" w:hint="default"/>
      </w:rPr>
    </w:lvl>
    <w:lvl w:ilvl="7" w:tplc="4DB6B2C8">
      <w:start w:val="1"/>
      <w:numFmt w:val="bullet"/>
      <w:lvlText w:val="o"/>
      <w:lvlJc w:val="left"/>
      <w:pPr>
        <w:ind w:left="5760" w:hanging="360"/>
      </w:pPr>
      <w:rPr>
        <w:rFonts w:ascii="Courier New" w:hAnsi="Courier New" w:hint="default"/>
      </w:rPr>
    </w:lvl>
    <w:lvl w:ilvl="8" w:tplc="28E6763E">
      <w:start w:val="1"/>
      <w:numFmt w:val="bullet"/>
      <w:lvlText w:val=""/>
      <w:lvlJc w:val="left"/>
      <w:pPr>
        <w:ind w:left="6480" w:hanging="360"/>
      </w:pPr>
      <w:rPr>
        <w:rFonts w:ascii="Wingdings" w:hAnsi="Wingdings" w:hint="default"/>
      </w:rPr>
    </w:lvl>
  </w:abstractNum>
  <w:abstractNum w:abstractNumId="8" w15:restartNumberingAfterBreak="0">
    <w:nsid w:val="67C2515F"/>
    <w:multiLevelType w:val="hybridMultilevel"/>
    <w:tmpl w:val="45E6D4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759FE87"/>
    <w:multiLevelType w:val="hybridMultilevel"/>
    <w:tmpl w:val="1E1A1F8A"/>
    <w:lvl w:ilvl="0" w:tplc="761ED588">
      <w:start w:val="1"/>
      <w:numFmt w:val="bullet"/>
      <w:lvlText w:val=""/>
      <w:lvlJc w:val="left"/>
      <w:pPr>
        <w:ind w:left="720" w:hanging="360"/>
      </w:pPr>
      <w:rPr>
        <w:rFonts w:ascii="Symbol" w:hAnsi="Symbol" w:hint="default"/>
      </w:rPr>
    </w:lvl>
    <w:lvl w:ilvl="1" w:tplc="4490DA88">
      <w:start w:val="1"/>
      <w:numFmt w:val="bullet"/>
      <w:lvlText w:val="o"/>
      <w:lvlJc w:val="left"/>
      <w:pPr>
        <w:ind w:left="1440" w:hanging="360"/>
      </w:pPr>
      <w:rPr>
        <w:rFonts w:ascii="Courier New" w:hAnsi="Courier New" w:hint="default"/>
      </w:rPr>
    </w:lvl>
    <w:lvl w:ilvl="2" w:tplc="146CB9F8">
      <w:start w:val="1"/>
      <w:numFmt w:val="bullet"/>
      <w:lvlText w:val=""/>
      <w:lvlJc w:val="left"/>
      <w:pPr>
        <w:ind w:left="2160" w:hanging="360"/>
      </w:pPr>
      <w:rPr>
        <w:rFonts w:ascii="Wingdings" w:hAnsi="Wingdings" w:hint="default"/>
      </w:rPr>
    </w:lvl>
    <w:lvl w:ilvl="3" w:tplc="D2302C08">
      <w:start w:val="1"/>
      <w:numFmt w:val="bullet"/>
      <w:lvlText w:val=""/>
      <w:lvlJc w:val="left"/>
      <w:pPr>
        <w:ind w:left="2880" w:hanging="360"/>
      </w:pPr>
      <w:rPr>
        <w:rFonts w:ascii="Symbol" w:hAnsi="Symbol" w:hint="default"/>
      </w:rPr>
    </w:lvl>
    <w:lvl w:ilvl="4" w:tplc="95DCB924">
      <w:start w:val="1"/>
      <w:numFmt w:val="bullet"/>
      <w:lvlText w:val="o"/>
      <w:lvlJc w:val="left"/>
      <w:pPr>
        <w:ind w:left="3600" w:hanging="360"/>
      </w:pPr>
      <w:rPr>
        <w:rFonts w:ascii="Courier New" w:hAnsi="Courier New" w:hint="default"/>
      </w:rPr>
    </w:lvl>
    <w:lvl w:ilvl="5" w:tplc="193677DC">
      <w:start w:val="1"/>
      <w:numFmt w:val="bullet"/>
      <w:lvlText w:val=""/>
      <w:lvlJc w:val="left"/>
      <w:pPr>
        <w:ind w:left="4320" w:hanging="360"/>
      </w:pPr>
      <w:rPr>
        <w:rFonts w:ascii="Wingdings" w:hAnsi="Wingdings" w:hint="default"/>
      </w:rPr>
    </w:lvl>
    <w:lvl w:ilvl="6" w:tplc="9B800E6E">
      <w:start w:val="1"/>
      <w:numFmt w:val="bullet"/>
      <w:lvlText w:val=""/>
      <w:lvlJc w:val="left"/>
      <w:pPr>
        <w:ind w:left="5040" w:hanging="360"/>
      </w:pPr>
      <w:rPr>
        <w:rFonts w:ascii="Symbol" w:hAnsi="Symbol" w:hint="default"/>
      </w:rPr>
    </w:lvl>
    <w:lvl w:ilvl="7" w:tplc="0494178A">
      <w:start w:val="1"/>
      <w:numFmt w:val="bullet"/>
      <w:lvlText w:val="o"/>
      <w:lvlJc w:val="left"/>
      <w:pPr>
        <w:ind w:left="5760" w:hanging="360"/>
      </w:pPr>
      <w:rPr>
        <w:rFonts w:ascii="Courier New" w:hAnsi="Courier New" w:hint="default"/>
      </w:rPr>
    </w:lvl>
    <w:lvl w:ilvl="8" w:tplc="52169EB4">
      <w:start w:val="1"/>
      <w:numFmt w:val="bullet"/>
      <w:lvlText w:val=""/>
      <w:lvlJc w:val="left"/>
      <w:pPr>
        <w:ind w:left="6480" w:hanging="360"/>
      </w:pPr>
      <w:rPr>
        <w:rFonts w:ascii="Wingdings" w:hAnsi="Wingdings" w:hint="default"/>
      </w:rPr>
    </w:lvl>
  </w:abstractNum>
  <w:abstractNum w:abstractNumId="10" w15:restartNumberingAfterBreak="0">
    <w:nsid w:val="7F65158E"/>
    <w:multiLevelType w:val="multilevel"/>
    <w:tmpl w:val="2F4277EA"/>
    <w:lvl w:ilvl="0">
      <w:numFmt w:val="bullet"/>
      <w:lvlText w:val="-"/>
      <w:lvlJc w:val="left"/>
      <w:pPr>
        <w:ind w:left="720" w:hanging="360"/>
      </w:pPr>
      <w:rPr>
        <w:rFonts w:ascii="Calibri" w:eastAsia="Calibri" w:hAnsi="Calibri" w:cs="Calibri" w:hint="default"/>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8177134">
    <w:abstractNumId w:val="1"/>
  </w:num>
  <w:num w:numId="2" w16cid:durableId="2089764360">
    <w:abstractNumId w:val="4"/>
  </w:num>
  <w:num w:numId="3" w16cid:durableId="265311523">
    <w:abstractNumId w:val="8"/>
  </w:num>
  <w:num w:numId="4" w16cid:durableId="941500132">
    <w:abstractNumId w:val="6"/>
  </w:num>
  <w:num w:numId="5" w16cid:durableId="82381651">
    <w:abstractNumId w:val="2"/>
  </w:num>
  <w:num w:numId="6" w16cid:durableId="552274180">
    <w:abstractNumId w:val="10"/>
  </w:num>
  <w:num w:numId="7" w16cid:durableId="2003005644">
    <w:abstractNumId w:val="0"/>
  </w:num>
  <w:num w:numId="8" w16cid:durableId="285091482">
    <w:abstractNumId w:val="5"/>
  </w:num>
  <w:num w:numId="9" w16cid:durableId="1025138726">
    <w:abstractNumId w:val="7"/>
  </w:num>
  <w:num w:numId="10" w16cid:durableId="985009466">
    <w:abstractNumId w:val="9"/>
  </w:num>
  <w:num w:numId="11" w16cid:durableId="126445650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839"/>
    <w:rsid w:val="00032F3F"/>
    <w:rsid w:val="00033892"/>
    <w:rsid w:val="00053E68"/>
    <w:rsid w:val="000607ED"/>
    <w:rsid w:val="0007257A"/>
    <w:rsid w:val="00074D37"/>
    <w:rsid w:val="00093A9A"/>
    <w:rsid w:val="00094D2B"/>
    <w:rsid w:val="000A0AB5"/>
    <w:rsid w:val="000C19BE"/>
    <w:rsid w:val="000D633A"/>
    <w:rsid w:val="000D6877"/>
    <w:rsid w:val="000D7A60"/>
    <w:rsid w:val="000E1BB7"/>
    <w:rsid w:val="001132B7"/>
    <w:rsid w:val="00113C3B"/>
    <w:rsid w:val="00124D49"/>
    <w:rsid w:val="00132E65"/>
    <w:rsid w:val="00136938"/>
    <w:rsid w:val="00137C5E"/>
    <w:rsid w:val="0014309F"/>
    <w:rsid w:val="001458A9"/>
    <w:rsid w:val="00150B2B"/>
    <w:rsid w:val="0015367E"/>
    <w:rsid w:val="00156C5F"/>
    <w:rsid w:val="001748CD"/>
    <w:rsid w:val="001974F7"/>
    <w:rsid w:val="001B4C11"/>
    <w:rsid w:val="001B50E1"/>
    <w:rsid w:val="001E0B46"/>
    <w:rsid w:val="001E60CE"/>
    <w:rsid w:val="001E6529"/>
    <w:rsid w:val="001F05EE"/>
    <w:rsid w:val="001F16FB"/>
    <w:rsid w:val="00203997"/>
    <w:rsid w:val="00207ECB"/>
    <w:rsid w:val="00211BD0"/>
    <w:rsid w:val="002170F2"/>
    <w:rsid w:val="00236FA3"/>
    <w:rsid w:val="00244307"/>
    <w:rsid w:val="00244C23"/>
    <w:rsid w:val="00261BDA"/>
    <w:rsid w:val="00263FC0"/>
    <w:rsid w:val="00267E52"/>
    <w:rsid w:val="00277F87"/>
    <w:rsid w:val="0028546E"/>
    <w:rsid w:val="002C7C1F"/>
    <w:rsid w:val="002E0251"/>
    <w:rsid w:val="002E61B7"/>
    <w:rsid w:val="002E75F5"/>
    <w:rsid w:val="003040EF"/>
    <w:rsid w:val="00305D25"/>
    <w:rsid w:val="0031001B"/>
    <w:rsid w:val="00330519"/>
    <w:rsid w:val="0034097D"/>
    <w:rsid w:val="00343D09"/>
    <w:rsid w:val="0036525E"/>
    <w:rsid w:val="00371BBB"/>
    <w:rsid w:val="003726C0"/>
    <w:rsid w:val="00373066"/>
    <w:rsid w:val="00380A8C"/>
    <w:rsid w:val="00380E26"/>
    <w:rsid w:val="003B4B78"/>
    <w:rsid w:val="003B6430"/>
    <w:rsid w:val="003C14BE"/>
    <w:rsid w:val="003F127F"/>
    <w:rsid w:val="003F1FCF"/>
    <w:rsid w:val="003F6902"/>
    <w:rsid w:val="0041053E"/>
    <w:rsid w:val="004142DC"/>
    <w:rsid w:val="00441064"/>
    <w:rsid w:val="00442839"/>
    <w:rsid w:val="00455BCA"/>
    <w:rsid w:val="0046247C"/>
    <w:rsid w:val="004720ED"/>
    <w:rsid w:val="00472143"/>
    <w:rsid w:val="00496699"/>
    <w:rsid w:val="004B0807"/>
    <w:rsid w:val="004B48A1"/>
    <w:rsid w:val="004B786F"/>
    <w:rsid w:val="004D5D8A"/>
    <w:rsid w:val="004D6771"/>
    <w:rsid w:val="004E2B7C"/>
    <w:rsid w:val="004F6E5F"/>
    <w:rsid w:val="00501CA3"/>
    <w:rsid w:val="0050563A"/>
    <w:rsid w:val="00516119"/>
    <w:rsid w:val="00526D6C"/>
    <w:rsid w:val="00535F0E"/>
    <w:rsid w:val="005414B5"/>
    <w:rsid w:val="00546BE4"/>
    <w:rsid w:val="0055137C"/>
    <w:rsid w:val="005519DE"/>
    <w:rsid w:val="005531C3"/>
    <w:rsid w:val="00555019"/>
    <w:rsid w:val="005574FF"/>
    <w:rsid w:val="00561DC4"/>
    <w:rsid w:val="00563022"/>
    <w:rsid w:val="005802B7"/>
    <w:rsid w:val="00581EDB"/>
    <w:rsid w:val="00585E11"/>
    <w:rsid w:val="00586D23"/>
    <w:rsid w:val="00590BBB"/>
    <w:rsid w:val="00593290"/>
    <w:rsid w:val="00595B66"/>
    <w:rsid w:val="005A4511"/>
    <w:rsid w:val="005B128F"/>
    <w:rsid w:val="005B1F24"/>
    <w:rsid w:val="005B2A0D"/>
    <w:rsid w:val="005B49C4"/>
    <w:rsid w:val="005E5251"/>
    <w:rsid w:val="005E5D02"/>
    <w:rsid w:val="005E7A1E"/>
    <w:rsid w:val="005F068D"/>
    <w:rsid w:val="006073DA"/>
    <w:rsid w:val="006160C2"/>
    <w:rsid w:val="006228E6"/>
    <w:rsid w:val="0064155C"/>
    <w:rsid w:val="00646B33"/>
    <w:rsid w:val="006674B8"/>
    <w:rsid w:val="00671DF5"/>
    <w:rsid w:val="00673329"/>
    <w:rsid w:val="00680F25"/>
    <w:rsid w:val="006911A0"/>
    <w:rsid w:val="006B3F54"/>
    <w:rsid w:val="006B42F1"/>
    <w:rsid w:val="006B7AD5"/>
    <w:rsid w:val="006C1851"/>
    <w:rsid w:val="006D58F9"/>
    <w:rsid w:val="006E0121"/>
    <w:rsid w:val="006E3411"/>
    <w:rsid w:val="006F412C"/>
    <w:rsid w:val="00701A1A"/>
    <w:rsid w:val="00715DE4"/>
    <w:rsid w:val="00735013"/>
    <w:rsid w:val="0073687C"/>
    <w:rsid w:val="00762DC2"/>
    <w:rsid w:val="00766287"/>
    <w:rsid w:val="00771288"/>
    <w:rsid w:val="0078357B"/>
    <w:rsid w:val="00783FF4"/>
    <w:rsid w:val="00795DD6"/>
    <w:rsid w:val="007A4430"/>
    <w:rsid w:val="007D4FA6"/>
    <w:rsid w:val="007E002C"/>
    <w:rsid w:val="00803111"/>
    <w:rsid w:val="00805FA6"/>
    <w:rsid w:val="00831B80"/>
    <w:rsid w:val="00852953"/>
    <w:rsid w:val="00862F1C"/>
    <w:rsid w:val="00867483"/>
    <w:rsid w:val="00877FBD"/>
    <w:rsid w:val="008827EC"/>
    <w:rsid w:val="008936E2"/>
    <w:rsid w:val="008A14D3"/>
    <w:rsid w:val="008B420E"/>
    <w:rsid w:val="008C5505"/>
    <w:rsid w:val="008E2530"/>
    <w:rsid w:val="008E2DE8"/>
    <w:rsid w:val="009004F0"/>
    <w:rsid w:val="009070FD"/>
    <w:rsid w:val="00921603"/>
    <w:rsid w:val="00942237"/>
    <w:rsid w:val="00946D56"/>
    <w:rsid w:val="009535D9"/>
    <w:rsid w:val="00956D09"/>
    <w:rsid w:val="00961832"/>
    <w:rsid w:val="009906B5"/>
    <w:rsid w:val="009A03C1"/>
    <w:rsid w:val="009A1399"/>
    <w:rsid w:val="009C15F6"/>
    <w:rsid w:val="009C3B41"/>
    <w:rsid w:val="009D1636"/>
    <w:rsid w:val="00A06A76"/>
    <w:rsid w:val="00A17617"/>
    <w:rsid w:val="00A2541B"/>
    <w:rsid w:val="00A256F9"/>
    <w:rsid w:val="00A2779D"/>
    <w:rsid w:val="00A3223F"/>
    <w:rsid w:val="00A36BAE"/>
    <w:rsid w:val="00A5524E"/>
    <w:rsid w:val="00AB3859"/>
    <w:rsid w:val="00AC1D31"/>
    <w:rsid w:val="00AC245C"/>
    <w:rsid w:val="00AD7839"/>
    <w:rsid w:val="00AE76DB"/>
    <w:rsid w:val="00B025F7"/>
    <w:rsid w:val="00B1324B"/>
    <w:rsid w:val="00B142DD"/>
    <w:rsid w:val="00B26201"/>
    <w:rsid w:val="00B3123D"/>
    <w:rsid w:val="00B34BB0"/>
    <w:rsid w:val="00B419FE"/>
    <w:rsid w:val="00B4414C"/>
    <w:rsid w:val="00B6494E"/>
    <w:rsid w:val="00B756B7"/>
    <w:rsid w:val="00B87E0A"/>
    <w:rsid w:val="00BA1459"/>
    <w:rsid w:val="00BA2C0F"/>
    <w:rsid w:val="00BA3BE4"/>
    <w:rsid w:val="00BA5601"/>
    <w:rsid w:val="00BB12D8"/>
    <w:rsid w:val="00BB3CB1"/>
    <w:rsid w:val="00BE225A"/>
    <w:rsid w:val="00BE395F"/>
    <w:rsid w:val="00BE5C3B"/>
    <w:rsid w:val="00BE79EA"/>
    <w:rsid w:val="00C154CF"/>
    <w:rsid w:val="00C32FDB"/>
    <w:rsid w:val="00C3774B"/>
    <w:rsid w:val="00C512F9"/>
    <w:rsid w:val="00C5185A"/>
    <w:rsid w:val="00C731C3"/>
    <w:rsid w:val="00C73CC9"/>
    <w:rsid w:val="00C7608E"/>
    <w:rsid w:val="00C94B9A"/>
    <w:rsid w:val="00C94DCB"/>
    <w:rsid w:val="00CA3B3D"/>
    <w:rsid w:val="00CC17A5"/>
    <w:rsid w:val="00CD08D1"/>
    <w:rsid w:val="00CE4B76"/>
    <w:rsid w:val="00CF3007"/>
    <w:rsid w:val="00D01003"/>
    <w:rsid w:val="00D1202F"/>
    <w:rsid w:val="00D26E40"/>
    <w:rsid w:val="00D32042"/>
    <w:rsid w:val="00D44DFA"/>
    <w:rsid w:val="00D46035"/>
    <w:rsid w:val="00D60BF6"/>
    <w:rsid w:val="00D945DB"/>
    <w:rsid w:val="00DB76D7"/>
    <w:rsid w:val="00DC1492"/>
    <w:rsid w:val="00DF3561"/>
    <w:rsid w:val="00DF36E4"/>
    <w:rsid w:val="00DF446C"/>
    <w:rsid w:val="00E07A2B"/>
    <w:rsid w:val="00E15E04"/>
    <w:rsid w:val="00E2366C"/>
    <w:rsid w:val="00E2693C"/>
    <w:rsid w:val="00E51FDA"/>
    <w:rsid w:val="00E55285"/>
    <w:rsid w:val="00E605B0"/>
    <w:rsid w:val="00E71900"/>
    <w:rsid w:val="00E71FE4"/>
    <w:rsid w:val="00E72F01"/>
    <w:rsid w:val="00E73EAC"/>
    <w:rsid w:val="00E84E69"/>
    <w:rsid w:val="00E8731C"/>
    <w:rsid w:val="00E93264"/>
    <w:rsid w:val="00E947E2"/>
    <w:rsid w:val="00EA0B3F"/>
    <w:rsid w:val="00EB1D4A"/>
    <w:rsid w:val="00EC6521"/>
    <w:rsid w:val="00ED02BD"/>
    <w:rsid w:val="00ED45F7"/>
    <w:rsid w:val="00EE37A1"/>
    <w:rsid w:val="00EF386B"/>
    <w:rsid w:val="00F24B11"/>
    <w:rsid w:val="00F25688"/>
    <w:rsid w:val="00F47895"/>
    <w:rsid w:val="00F75CBA"/>
    <w:rsid w:val="00FA2E6E"/>
    <w:rsid w:val="00FA7BE0"/>
    <w:rsid w:val="00FB48B2"/>
    <w:rsid w:val="00FD00DC"/>
    <w:rsid w:val="00FD0A74"/>
    <w:rsid w:val="00FD1953"/>
    <w:rsid w:val="00FD305C"/>
    <w:rsid w:val="00FE4F7C"/>
    <w:rsid w:val="00FE508C"/>
    <w:rsid w:val="00FE7C30"/>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43330"/>
  <w15:docId w15:val="{4D4D54F1-CCA2-46EE-A61E-31B7533E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BE" w:eastAsia="en-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3BE4"/>
    <w:pPr>
      <w:spacing w:after="159" w:line="248" w:lineRule="auto"/>
      <w:ind w:left="10" w:hanging="10"/>
      <w:jc w:val="both"/>
    </w:pPr>
    <w:rPr>
      <w:rFonts w:ascii="Calibri" w:eastAsia="Calibri" w:hAnsi="Calibri" w:cs="Calibri"/>
      <w:color w:val="221F21"/>
      <w:sz w:val="22"/>
      <w:lang w:val="en-GB"/>
    </w:rPr>
  </w:style>
  <w:style w:type="paragraph" w:styleId="berschrift1">
    <w:name w:val="heading 1"/>
    <w:next w:val="Standard"/>
    <w:link w:val="berschrift1Zchn"/>
    <w:uiPriority w:val="9"/>
    <w:qFormat/>
    <w:pPr>
      <w:keepNext/>
      <w:keepLines/>
      <w:numPr>
        <w:numId w:val="1"/>
      </w:numPr>
      <w:spacing w:after="228" w:line="248" w:lineRule="auto"/>
      <w:ind w:left="605" w:hanging="605"/>
      <w:outlineLvl w:val="0"/>
    </w:pPr>
    <w:rPr>
      <w:rFonts w:ascii="Calibri" w:eastAsia="Calibri" w:hAnsi="Calibri" w:cs="Calibri"/>
      <w:color w:val="355585"/>
      <w:sz w:val="48"/>
    </w:rPr>
  </w:style>
  <w:style w:type="paragraph" w:styleId="berschrift2">
    <w:name w:val="heading 2"/>
    <w:next w:val="Standard"/>
    <w:link w:val="berschrift2Zchn"/>
    <w:uiPriority w:val="9"/>
    <w:unhideWhenUsed/>
    <w:qFormat/>
    <w:pPr>
      <w:keepNext/>
      <w:keepLines/>
      <w:spacing w:after="133" w:line="259" w:lineRule="auto"/>
      <w:ind w:left="10" w:hanging="10"/>
      <w:outlineLvl w:val="1"/>
    </w:pPr>
    <w:rPr>
      <w:rFonts w:ascii="Calibri" w:eastAsia="Calibri" w:hAnsi="Calibri" w:cs="Calibri"/>
      <w:b/>
      <w:color w:val="E76F35"/>
      <w:sz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Calibri" w:eastAsia="Calibri" w:hAnsi="Calibri" w:cs="Calibri"/>
      <w:b/>
      <w:color w:val="E76F35"/>
      <w:sz w:val="32"/>
    </w:rPr>
  </w:style>
  <w:style w:type="character" w:customStyle="1" w:styleId="berschrift1Zchn">
    <w:name w:val="Überschrift 1 Zchn"/>
    <w:link w:val="berschrift1"/>
    <w:uiPriority w:val="9"/>
    <w:rPr>
      <w:rFonts w:ascii="Calibri" w:eastAsia="Calibri" w:hAnsi="Calibri" w:cs="Calibri"/>
      <w:color w:val="355585"/>
      <w:sz w:val="48"/>
    </w:rPr>
  </w:style>
  <w:style w:type="paragraph" w:styleId="Verzeichnis1">
    <w:name w:val="toc 1"/>
    <w:hidden/>
    <w:pPr>
      <w:spacing w:after="21" w:line="248" w:lineRule="auto"/>
      <w:ind w:left="25" w:right="23" w:hanging="10"/>
      <w:jc w:val="both"/>
    </w:pPr>
    <w:rPr>
      <w:rFonts w:ascii="Calibri" w:eastAsia="Calibri" w:hAnsi="Calibri" w:cs="Calibri"/>
      <w:color w:val="221F21"/>
      <w:sz w:val="22"/>
    </w:rPr>
  </w:style>
  <w:style w:type="paragraph" w:styleId="Verzeichnis2">
    <w:name w:val="toc 2"/>
    <w:hidden/>
    <w:pPr>
      <w:spacing w:after="135" w:line="248" w:lineRule="auto"/>
      <w:ind w:left="485" w:right="23" w:hanging="10"/>
      <w:jc w:val="both"/>
    </w:pPr>
    <w:rPr>
      <w:rFonts w:ascii="Calibri" w:eastAsia="Calibri" w:hAnsi="Calibri" w:cs="Calibri"/>
      <w:color w:val="221F21"/>
      <w:sz w:val="22"/>
    </w:rPr>
  </w:style>
  <w:style w:type="paragraph" w:styleId="Kopfzeile">
    <w:name w:val="header"/>
    <w:basedOn w:val="Standard"/>
    <w:link w:val="KopfzeileZchn"/>
    <w:uiPriority w:val="99"/>
    <w:unhideWhenUsed/>
    <w:rsid w:val="002E0251"/>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2E0251"/>
    <w:rPr>
      <w:rFonts w:ascii="Calibri" w:eastAsia="Calibri" w:hAnsi="Calibri" w:cs="Calibri"/>
      <w:color w:val="221F21"/>
      <w:sz w:val="22"/>
    </w:rPr>
  </w:style>
  <w:style w:type="table" w:styleId="Tabellenraster">
    <w:name w:val="Table Grid"/>
    <w:basedOn w:val="NormaleTabelle"/>
    <w:uiPriority w:val="39"/>
    <w:rsid w:val="00CC1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73EAC"/>
    <w:rPr>
      <w:color w:val="467886" w:themeColor="hyperlink"/>
      <w:u w:val="single"/>
    </w:rPr>
  </w:style>
  <w:style w:type="character" w:styleId="NichtaufgelsteErwhnung">
    <w:name w:val="Unresolved Mention"/>
    <w:basedOn w:val="Absatz-Standardschriftart"/>
    <w:uiPriority w:val="99"/>
    <w:semiHidden/>
    <w:unhideWhenUsed/>
    <w:rsid w:val="00E73EAC"/>
    <w:rPr>
      <w:color w:val="605E5C"/>
      <w:shd w:val="clear" w:color="auto" w:fill="E1DFDD"/>
    </w:rPr>
  </w:style>
  <w:style w:type="paragraph" w:styleId="Funotentext">
    <w:name w:val="footnote text"/>
    <w:basedOn w:val="Standard"/>
    <w:link w:val="FunotentextZchn"/>
    <w:uiPriority w:val="99"/>
    <w:semiHidden/>
    <w:unhideWhenUsed/>
    <w:rsid w:val="00586D2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6D23"/>
    <w:rPr>
      <w:rFonts w:ascii="Calibri" w:eastAsia="Calibri" w:hAnsi="Calibri" w:cs="Calibri"/>
      <w:color w:val="221F21"/>
      <w:sz w:val="20"/>
      <w:szCs w:val="20"/>
    </w:rPr>
  </w:style>
  <w:style w:type="character" w:styleId="Funotenzeichen">
    <w:name w:val="footnote reference"/>
    <w:basedOn w:val="Absatz-Standardschriftart"/>
    <w:uiPriority w:val="99"/>
    <w:semiHidden/>
    <w:unhideWhenUsed/>
    <w:rsid w:val="00586D23"/>
    <w:rPr>
      <w:vertAlign w:val="superscript"/>
    </w:rPr>
  </w:style>
  <w:style w:type="paragraph" w:styleId="Fuzeile">
    <w:name w:val="footer"/>
    <w:basedOn w:val="Standard"/>
    <w:link w:val="FuzeileZchn"/>
    <w:uiPriority w:val="99"/>
    <w:unhideWhenUsed/>
    <w:rsid w:val="00113C3B"/>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Cs w:val="22"/>
      <w14:ligatures w14:val="none"/>
    </w:rPr>
  </w:style>
  <w:style w:type="character" w:customStyle="1" w:styleId="FuzeileZchn">
    <w:name w:val="Fußzeile Zchn"/>
    <w:basedOn w:val="Absatz-Standardschriftart"/>
    <w:link w:val="Fuzeile"/>
    <w:uiPriority w:val="99"/>
    <w:rsid w:val="00113C3B"/>
    <w:rPr>
      <w:rFonts w:cs="Times New Roman"/>
      <w:kern w:val="0"/>
      <w:sz w:val="22"/>
      <w:szCs w:val="22"/>
      <w14:ligatures w14:val="none"/>
    </w:rPr>
  </w:style>
  <w:style w:type="paragraph" w:styleId="KeinLeerraum">
    <w:name w:val="No Spacing"/>
    <w:uiPriority w:val="1"/>
    <w:qFormat/>
    <w:rsid w:val="00921603"/>
    <w:pPr>
      <w:spacing w:after="0" w:line="240" w:lineRule="auto"/>
    </w:pPr>
    <w:rPr>
      <w:rFonts w:ascii="Helvetica" w:eastAsiaTheme="minorHAnsi" w:hAnsi="Helvetica"/>
      <w:lang w:eastAsia="en-US"/>
    </w:rPr>
  </w:style>
  <w:style w:type="paragraph" w:styleId="Listenabsatz">
    <w:name w:val="List Paragraph"/>
    <w:basedOn w:val="Standard"/>
    <w:uiPriority w:val="34"/>
    <w:qFormat/>
    <w:rsid w:val="00E8731C"/>
    <w:pPr>
      <w:ind w:left="720"/>
      <w:contextualSpacing/>
    </w:pPr>
  </w:style>
  <w:style w:type="character" w:styleId="BesuchterLink">
    <w:name w:val="FollowedHyperlink"/>
    <w:basedOn w:val="Absatz-Standardschriftart"/>
    <w:uiPriority w:val="99"/>
    <w:semiHidden/>
    <w:unhideWhenUsed/>
    <w:rsid w:val="009422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il.eu/artificial-intellige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enil.eu"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nil.eu/wp-content/uploads/2026/01/A-roadmap-on-Independent-Living.pdf" TargetMode="External"/><Relationship Id="rId13" Type="http://schemas.openxmlformats.org/officeDocument/2006/relationships/hyperlink" Target="https://competition-policy.ec.europa.eu/public-consultations/2026-gber_en" TargetMode="External"/><Relationship Id="rId3" Type="http://schemas.openxmlformats.org/officeDocument/2006/relationships/hyperlink" Target="https://ec.europa.eu/eurostat/statistics-explained/index.php?title=Disability_statistics_-_poverty_and_income_inequalities" TargetMode="External"/><Relationship Id="rId7" Type="http://schemas.openxmlformats.org/officeDocument/2006/relationships/hyperlink" Target="https://enil.eu/wp-content/uploads/2025/10/New-policy-pathways-for-the-labour-market-inclusion-of-disabled-people.pdf" TargetMode="External"/><Relationship Id="rId12" Type="http://schemas.openxmlformats.org/officeDocument/2006/relationships/hyperlink" Target="https://easpd.eu/resources-detail/fostering-employment-through-sheltered-workshops-reality-trends-and-next-steps/" TargetMode="External"/><Relationship Id="rId17" Type="http://schemas.openxmlformats.org/officeDocument/2006/relationships/hyperlink" Target="https://enil.eu/wp-content/uploads/2025/10/New-policy-pathways-for-the-labour-market-inclusion-of-disabled-people.pdf" TargetMode="External"/><Relationship Id="rId2" Type="http://schemas.openxmlformats.org/officeDocument/2006/relationships/hyperlink" Target="https://enil.eu/advocacy-campaign-for-inclusive-employment-takes-shape/" TargetMode="External"/><Relationship Id="rId16" Type="http://schemas.openxmlformats.org/officeDocument/2006/relationships/hyperlink" Target="https://enil.eu/reforming-eu-state-aid-law-to-restrict-subsidies-to-sheltered-workshops/" TargetMode="External"/><Relationship Id="rId1" Type="http://schemas.openxmlformats.org/officeDocument/2006/relationships/hyperlink" Target="https://www.eurofound.europa.eu/en/publications/all/paths-towards-independent-living-and-social-inclusion-europe" TargetMode="External"/><Relationship Id="rId6" Type="http://schemas.openxmlformats.org/officeDocument/2006/relationships/hyperlink" Target="https://enil.eu/il-map/" TargetMode="External"/><Relationship Id="rId11" Type="http://schemas.openxmlformats.org/officeDocument/2006/relationships/hyperlink" Target="https://eur-lex.europa.eu/legal-content/EN/TXT/?uri=legissum:0802_4" TargetMode="External"/><Relationship Id="rId5" Type="http://schemas.openxmlformats.org/officeDocument/2006/relationships/hyperlink" Target="https://www.vista-analyse.no/no/publikasjoner/samfunnsokonomisk-analyse-av-bpa-ordningen/" TargetMode="External"/><Relationship Id="rId15" Type="http://schemas.openxmlformats.org/officeDocument/2006/relationships/hyperlink" Target="https://competition-policy.ec.europa.eu/document/download/13d86416-7f23-466e-83aa-0af8105b72d2_en?filename=empty_file_en.pdf" TargetMode="External"/><Relationship Id="rId10" Type="http://schemas.openxmlformats.org/officeDocument/2006/relationships/hyperlink" Target="https://www.eurofound.europa.eu/en/publications/all/disability-and-labour-market-integration-policy-trends-and-support-eu-member" TargetMode="External"/><Relationship Id="rId4" Type="http://schemas.openxmlformats.org/officeDocument/2006/relationships/hyperlink" Target="https://www.oecd.org/en/publications/combatting-discrimination-in-the-european-union_29c2c36a-en.html" TargetMode="External"/><Relationship Id="rId9" Type="http://schemas.openxmlformats.org/officeDocument/2006/relationships/hyperlink" Target="https://op.europa.eu/cs/publication-detail/-/publication/1cc9efd9-1b5d-11f0-b1a3-01aa75ed71a1/language-en" TargetMode="External"/><Relationship Id="rId14" Type="http://schemas.openxmlformats.org/officeDocument/2006/relationships/hyperlink" Target="https://competition-policy.ec.europa.eu/state-aid/legislation/commission-expert-groups-state-ai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1DD48-D2AE-46F0-A969-139C302C8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2920</Words>
  <Characters>16644</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Sanden</dc:creator>
  <cp:keywords/>
  <cp:lastModifiedBy>Florian Sanden</cp:lastModifiedBy>
  <cp:revision>33</cp:revision>
  <cp:lastPrinted>2026-05-26T12:41:00Z</cp:lastPrinted>
  <dcterms:created xsi:type="dcterms:W3CDTF">2026-05-28T16:55:00Z</dcterms:created>
  <dcterms:modified xsi:type="dcterms:W3CDTF">2026-05-28T17:33:00Z</dcterms:modified>
</cp:coreProperties>
</file>