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4A5" w14:textId="3167776D" w:rsidR="00A17617" w:rsidRPr="003F1FCF" w:rsidRDefault="00A17617" w:rsidP="0073687C">
      <w:pPr>
        <w:pStyle w:val="berschrift1"/>
        <w:numPr>
          <w:ilvl w:val="0"/>
          <w:numId w:val="0"/>
        </w:numPr>
        <w:spacing w:after="166"/>
        <w:ind w:left="5645" w:right="37" w:hanging="605"/>
        <w:rPr>
          <w:sz w:val="44"/>
          <w:szCs w:val="22"/>
          <w:lang w:val="en-GB"/>
        </w:rPr>
      </w:pPr>
      <w:r w:rsidRPr="003F1FCF">
        <w:rPr>
          <w:sz w:val="44"/>
          <w:szCs w:val="22"/>
          <w:lang w:val="en-GB"/>
        </w:rPr>
        <w:t xml:space="preserve">Brussels </w:t>
      </w:r>
      <w:r w:rsidR="00FD0A74" w:rsidRPr="003F1FCF">
        <w:rPr>
          <w:sz w:val="44"/>
          <w:szCs w:val="22"/>
          <w:lang w:val="en-GB"/>
        </w:rPr>
        <w:t>2</w:t>
      </w:r>
      <w:r w:rsidR="005531C3">
        <w:rPr>
          <w:sz w:val="44"/>
          <w:szCs w:val="22"/>
          <w:lang w:val="en-GB"/>
        </w:rPr>
        <w:t>8</w:t>
      </w:r>
      <w:r w:rsidR="00FD0A74" w:rsidRPr="003F1FCF">
        <w:rPr>
          <w:sz w:val="44"/>
          <w:szCs w:val="22"/>
          <w:lang w:val="en-GB"/>
        </w:rPr>
        <w:t xml:space="preserve"> May</w:t>
      </w:r>
      <w:r w:rsidRPr="003F1FCF">
        <w:rPr>
          <w:sz w:val="44"/>
          <w:szCs w:val="22"/>
          <w:lang w:val="en-GB"/>
        </w:rPr>
        <w:t xml:space="preserve"> 2026</w:t>
      </w:r>
    </w:p>
    <w:p w14:paraId="2DE9CAE5" w14:textId="77777777" w:rsidR="00A17617" w:rsidRPr="003F1FCF" w:rsidRDefault="00A17617" w:rsidP="00A17617">
      <w:pPr>
        <w:pStyle w:val="berschrift1"/>
        <w:numPr>
          <w:ilvl w:val="0"/>
          <w:numId w:val="0"/>
        </w:numPr>
        <w:spacing w:after="166"/>
        <w:ind w:left="605" w:right="37" w:hanging="605"/>
        <w:rPr>
          <w:sz w:val="24"/>
          <w:szCs w:val="12"/>
          <w:lang w:val="en-GB"/>
        </w:rPr>
      </w:pPr>
    </w:p>
    <w:p w14:paraId="35A0666A" w14:textId="66CEAF76" w:rsidR="00563022" w:rsidRPr="003F1FCF" w:rsidRDefault="00563022" w:rsidP="00563022">
      <w:pPr>
        <w:pStyle w:val="berschrift1"/>
        <w:numPr>
          <w:ilvl w:val="0"/>
          <w:numId w:val="0"/>
        </w:numPr>
        <w:ind w:left="605" w:hanging="605"/>
        <w:rPr>
          <w:b/>
          <w:color w:val="E76F35"/>
          <w:sz w:val="32"/>
          <w:lang w:val="en-GB"/>
        </w:rPr>
      </w:pPr>
      <w:r w:rsidRPr="003F1FCF">
        <w:rPr>
          <w:b/>
          <w:color w:val="E76F35"/>
          <w:sz w:val="32"/>
          <w:lang w:val="en-GB"/>
        </w:rPr>
        <w:t>Urgent Appeal to the Members of the European Parliament</w:t>
      </w:r>
    </w:p>
    <w:p w14:paraId="55A67BB6" w14:textId="77777777" w:rsidR="00A17617" w:rsidRPr="003F1FCF" w:rsidRDefault="00A17617" w:rsidP="00380A8C">
      <w:pPr>
        <w:spacing w:line="247" w:lineRule="auto"/>
        <w:contextualSpacing/>
        <w:rPr>
          <w:sz w:val="24"/>
          <w:szCs w:val="28"/>
        </w:rPr>
      </w:pPr>
    </w:p>
    <w:p w14:paraId="7869056B" w14:textId="7D6D06D0" w:rsidR="00FA7BE0" w:rsidRDefault="00FE508C" w:rsidP="00380A8C">
      <w:pPr>
        <w:spacing w:line="247" w:lineRule="auto"/>
        <w:contextualSpacing/>
        <w:rPr>
          <w:color w:val="355585"/>
          <w:sz w:val="28"/>
          <w:szCs w:val="14"/>
        </w:rPr>
      </w:pPr>
      <w:r>
        <w:rPr>
          <w:color w:val="355585"/>
          <w:sz w:val="28"/>
          <w:szCs w:val="14"/>
        </w:rPr>
        <w:t>The Multiannual Financial Framework at risk: Don`t squander</w:t>
      </w:r>
      <w:r w:rsidR="001B4C11">
        <w:rPr>
          <w:color w:val="355585"/>
          <w:sz w:val="28"/>
          <w:szCs w:val="14"/>
        </w:rPr>
        <w:t xml:space="preserve"> our</w:t>
      </w:r>
      <w:r>
        <w:rPr>
          <w:color w:val="355585"/>
          <w:sz w:val="28"/>
          <w:szCs w:val="14"/>
        </w:rPr>
        <w:t xml:space="preserve"> </w:t>
      </w:r>
      <w:r w:rsidR="00380E26">
        <w:rPr>
          <w:color w:val="355585"/>
          <w:sz w:val="28"/>
          <w:szCs w:val="14"/>
        </w:rPr>
        <w:t>rights and prosperity</w:t>
      </w:r>
      <w:r w:rsidR="0014309F">
        <w:rPr>
          <w:color w:val="355585"/>
          <w:sz w:val="28"/>
          <w:szCs w:val="14"/>
        </w:rPr>
        <w:t>!</w:t>
      </w:r>
    </w:p>
    <w:p w14:paraId="480E9804" w14:textId="77777777" w:rsidR="00380E26" w:rsidRDefault="00380E26" w:rsidP="00380A8C">
      <w:pPr>
        <w:spacing w:line="247" w:lineRule="auto"/>
        <w:contextualSpacing/>
        <w:rPr>
          <w:color w:val="355585"/>
          <w:sz w:val="28"/>
          <w:szCs w:val="14"/>
        </w:rPr>
      </w:pPr>
    </w:p>
    <w:p w14:paraId="1BB05065" w14:textId="34486FCC" w:rsidR="005F068D" w:rsidRDefault="005F068D" w:rsidP="00380A8C">
      <w:pPr>
        <w:spacing w:line="247" w:lineRule="auto"/>
        <w:contextualSpacing/>
        <w:rPr>
          <w:color w:val="355585"/>
          <w:sz w:val="28"/>
          <w:szCs w:val="14"/>
        </w:rPr>
      </w:pPr>
      <w:r>
        <w:rPr>
          <w:color w:val="355585"/>
          <w:sz w:val="28"/>
          <w:szCs w:val="14"/>
        </w:rPr>
        <w:t xml:space="preserve">If no changes are made, </w:t>
      </w:r>
      <w:r w:rsidR="00E93264">
        <w:rPr>
          <w:color w:val="355585"/>
          <w:sz w:val="28"/>
          <w:szCs w:val="14"/>
        </w:rPr>
        <w:t xml:space="preserve">the next MFF will: </w:t>
      </w:r>
    </w:p>
    <w:p w14:paraId="405E27F9" w14:textId="77777777" w:rsidR="00E93264" w:rsidRDefault="00E93264" w:rsidP="00380A8C">
      <w:pPr>
        <w:spacing w:line="247" w:lineRule="auto"/>
        <w:contextualSpacing/>
        <w:rPr>
          <w:color w:val="355585"/>
          <w:sz w:val="28"/>
          <w:szCs w:val="14"/>
        </w:rPr>
      </w:pPr>
    </w:p>
    <w:p w14:paraId="11CCB2BC" w14:textId="2589A29C" w:rsidR="00E93264" w:rsidRDefault="00E93264" w:rsidP="00380A8C">
      <w:pPr>
        <w:spacing w:line="247" w:lineRule="auto"/>
        <w:contextualSpacing/>
        <w:rPr>
          <w:color w:val="355585"/>
          <w:sz w:val="28"/>
          <w:szCs w:val="14"/>
        </w:rPr>
      </w:pPr>
      <w:r>
        <w:rPr>
          <w:color w:val="355585"/>
          <w:sz w:val="28"/>
          <w:szCs w:val="14"/>
        </w:rPr>
        <w:t xml:space="preserve">- Fail to contribute </w:t>
      </w:r>
      <w:r w:rsidR="001E60CE">
        <w:rPr>
          <w:color w:val="355585"/>
          <w:sz w:val="28"/>
          <w:szCs w:val="14"/>
        </w:rPr>
        <w:t>to</w:t>
      </w:r>
      <w:r w:rsidR="007E002C">
        <w:rPr>
          <w:color w:val="355585"/>
          <w:sz w:val="28"/>
          <w:szCs w:val="14"/>
        </w:rPr>
        <w:t xml:space="preserve"> </w:t>
      </w:r>
      <w:r w:rsidR="006228E6">
        <w:rPr>
          <w:color w:val="355585"/>
          <w:sz w:val="28"/>
          <w:szCs w:val="14"/>
        </w:rPr>
        <w:t xml:space="preserve">the </w:t>
      </w:r>
      <w:r w:rsidR="007E002C">
        <w:rPr>
          <w:color w:val="355585"/>
          <w:sz w:val="28"/>
          <w:szCs w:val="14"/>
        </w:rPr>
        <w:t>implement</w:t>
      </w:r>
      <w:r w:rsidR="006228E6">
        <w:rPr>
          <w:color w:val="355585"/>
          <w:sz w:val="28"/>
          <w:szCs w:val="14"/>
        </w:rPr>
        <w:t>ation</w:t>
      </w:r>
      <w:r>
        <w:rPr>
          <w:color w:val="355585"/>
          <w:sz w:val="28"/>
          <w:szCs w:val="14"/>
        </w:rPr>
        <w:t xml:space="preserve"> </w:t>
      </w:r>
      <w:r w:rsidR="0014309F">
        <w:rPr>
          <w:color w:val="355585"/>
          <w:sz w:val="28"/>
          <w:szCs w:val="14"/>
        </w:rPr>
        <w:t xml:space="preserve">of </w:t>
      </w:r>
      <w:r w:rsidR="001E60CE">
        <w:rPr>
          <w:color w:val="355585"/>
          <w:sz w:val="28"/>
          <w:szCs w:val="14"/>
        </w:rPr>
        <w:t>the European Union`s commitment</w:t>
      </w:r>
      <w:r w:rsidR="00EC6521">
        <w:rPr>
          <w:color w:val="355585"/>
          <w:sz w:val="28"/>
          <w:szCs w:val="14"/>
        </w:rPr>
        <w:t>s</w:t>
      </w:r>
      <w:r w:rsidR="001E60CE">
        <w:rPr>
          <w:color w:val="355585"/>
          <w:sz w:val="28"/>
          <w:szCs w:val="14"/>
        </w:rPr>
        <w:t xml:space="preserve"> for the rights of disabled people </w:t>
      </w:r>
      <w:r w:rsidR="007E002C">
        <w:rPr>
          <w:color w:val="355585"/>
          <w:sz w:val="28"/>
          <w:szCs w:val="14"/>
        </w:rPr>
        <w:t xml:space="preserve">as laid down in the Treaties, the EU Charter on Fundamental Rights and the United Nations Convention on the Rights </w:t>
      </w:r>
      <w:r w:rsidR="0028546E">
        <w:rPr>
          <w:color w:val="355585"/>
          <w:sz w:val="28"/>
          <w:szCs w:val="14"/>
        </w:rPr>
        <w:t>of Persons with Disabilities</w:t>
      </w:r>
      <w:r w:rsidR="006B7AD5">
        <w:rPr>
          <w:color w:val="355585"/>
          <w:sz w:val="28"/>
          <w:szCs w:val="14"/>
        </w:rPr>
        <w:t xml:space="preserve"> (UN CRPD)</w:t>
      </w:r>
    </w:p>
    <w:p w14:paraId="20FBFB67" w14:textId="77777777" w:rsidR="0028546E" w:rsidRDefault="0028546E" w:rsidP="00380A8C">
      <w:pPr>
        <w:spacing w:line="247" w:lineRule="auto"/>
        <w:contextualSpacing/>
        <w:rPr>
          <w:color w:val="355585"/>
          <w:sz w:val="28"/>
          <w:szCs w:val="14"/>
        </w:rPr>
      </w:pPr>
    </w:p>
    <w:p w14:paraId="588002FC" w14:textId="045B89F9" w:rsidR="0028546E" w:rsidRDefault="0028546E" w:rsidP="00380A8C">
      <w:pPr>
        <w:spacing w:line="247" w:lineRule="auto"/>
        <w:contextualSpacing/>
        <w:rPr>
          <w:color w:val="355585"/>
          <w:sz w:val="28"/>
          <w:szCs w:val="14"/>
        </w:rPr>
      </w:pPr>
      <w:r>
        <w:rPr>
          <w:color w:val="355585"/>
          <w:sz w:val="28"/>
          <w:szCs w:val="14"/>
        </w:rPr>
        <w:t xml:space="preserve">- </w:t>
      </w:r>
      <w:r w:rsidR="007A4430">
        <w:rPr>
          <w:color w:val="355585"/>
          <w:sz w:val="28"/>
          <w:szCs w:val="14"/>
        </w:rPr>
        <w:t xml:space="preserve">Allocate large miss-investments into measures that </w:t>
      </w:r>
      <w:r w:rsidR="006228E6">
        <w:rPr>
          <w:color w:val="355585"/>
          <w:sz w:val="28"/>
          <w:szCs w:val="14"/>
        </w:rPr>
        <w:t xml:space="preserve">will </w:t>
      </w:r>
      <w:r w:rsidR="00EC6521">
        <w:rPr>
          <w:color w:val="355585"/>
          <w:sz w:val="28"/>
          <w:szCs w:val="14"/>
        </w:rPr>
        <w:t xml:space="preserve">not resolve but escalate important societal challenges, the strain on public finances and </w:t>
      </w:r>
      <w:r w:rsidR="009A1399">
        <w:rPr>
          <w:color w:val="355585"/>
          <w:sz w:val="28"/>
          <w:szCs w:val="14"/>
        </w:rPr>
        <w:t xml:space="preserve">weak economic growth </w:t>
      </w:r>
    </w:p>
    <w:p w14:paraId="1DED2EE0" w14:textId="1100E077" w:rsidR="005F068D" w:rsidRDefault="005F068D" w:rsidP="00380A8C">
      <w:pPr>
        <w:spacing w:line="247" w:lineRule="auto"/>
        <w:contextualSpacing/>
        <w:rPr>
          <w:color w:val="355585"/>
          <w:sz w:val="28"/>
          <w:szCs w:val="14"/>
        </w:rPr>
      </w:pPr>
    </w:p>
    <w:p w14:paraId="3AD0B5CE" w14:textId="53512406" w:rsidR="00DF3561" w:rsidRDefault="006B7AD5" w:rsidP="00380A8C">
      <w:pPr>
        <w:spacing w:line="247" w:lineRule="auto"/>
        <w:contextualSpacing/>
        <w:rPr>
          <w:b/>
          <w:color w:val="E76F35"/>
          <w:sz w:val="32"/>
        </w:rPr>
      </w:pPr>
      <w:r w:rsidRPr="006B7AD5">
        <w:rPr>
          <w:b/>
          <w:color w:val="E76F35"/>
          <w:sz w:val="32"/>
        </w:rPr>
        <w:t>We strongly recommend amendments to:</w:t>
      </w:r>
    </w:p>
    <w:p w14:paraId="71F13920" w14:textId="77777777" w:rsidR="006B7AD5" w:rsidRDefault="006B7AD5" w:rsidP="00380A8C">
      <w:pPr>
        <w:spacing w:line="247" w:lineRule="auto"/>
        <w:contextualSpacing/>
        <w:rPr>
          <w:color w:val="355585"/>
          <w:sz w:val="28"/>
          <w:szCs w:val="14"/>
        </w:rPr>
      </w:pPr>
    </w:p>
    <w:p w14:paraId="43ACEC7B" w14:textId="50B7C2E8" w:rsidR="00DF3561" w:rsidRDefault="00DF3561" w:rsidP="00380A8C">
      <w:pPr>
        <w:spacing w:line="247" w:lineRule="auto"/>
        <w:contextualSpacing/>
        <w:rPr>
          <w:color w:val="355585"/>
          <w:sz w:val="28"/>
          <w:szCs w:val="14"/>
        </w:rPr>
      </w:pPr>
      <w:r>
        <w:rPr>
          <w:color w:val="355585"/>
          <w:sz w:val="28"/>
          <w:szCs w:val="14"/>
        </w:rPr>
        <w:t>- The National Regional Partnership Plan Regula</w:t>
      </w:r>
      <w:r w:rsidR="00A2541B">
        <w:rPr>
          <w:color w:val="355585"/>
          <w:sz w:val="28"/>
          <w:szCs w:val="14"/>
        </w:rPr>
        <w:t xml:space="preserve">tion: We need a clear earmarking </w:t>
      </w:r>
      <w:r w:rsidR="00C731C3">
        <w:rPr>
          <w:color w:val="355585"/>
          <w:sz w:val="28"/>
          <w:szCs w:val="14"/>
        </w:rPr>
        <w:t xml:space="preserve">for investments into disability services and a clear commitment to </w:t>
      </w:r>
      <w:r w:rsidR="006B7AD5">
        <w:rPr>
          <w:color w:val="355585"/>
          <w:sz w:val="28"/>
          <w:szCs w:val="14"/>
        </w:rPr>
        <w:t>implement the UN CRPD</w:t>
      </w:r>
    </w:p>
    <w:p w14:paraId="5F592DFD" w14:textId="77777777" w:rsidR="00A36BAE" w:rsidRDefault="00A36BAE" w:rsidP="00380A8C">
      <w:pPr>
        <w:spacing w:line="247" w:lineRule="auto"/>
        <w:contextualSpacing/>
        <w:rPr>
          <w:color w:val="355585"/>
          <w:sz w:val="28"/>
          <w:szCs w:val="14"/>
        </w:rPr>
      </w:pPr>
    </w:p>
    <w:p w14:paraId="5516D1A6" w14:textId="062F0617" w:rsidR="006B7AD5" w:rsidRDefault="006B7AD5" w:rsidP="00380A8C">
      <w:pPr>
        <w:spacing w:line="247" w:lineRule="auto"/>
        <w:contextualSpacing/>
        <w:rPr>
          <w:color w:val="355585"/>
          <w:sz w:val="28"/>
          <w:szCs w:val="14"/>
        </w:rPr>
      </w:pPr>
      <w:r>
        <w:rPr>
          <w:color w:val="355585"/>
          <w:sz w:val="28"/>
          <w:szCs w:val="14"/>
        </w:rPr>
        <w:t xml:space="preserve">- </w:t>
      </w:r>
      <w:r w:rsidR="00F75CBA">
        <w:rPr>
          <w:color w:val="355585"/>
          <w:sz w:val="28"/>
          <w:szCs w:val="14"/>
        </w:rPr>
        <w:t xml:space="preserve">The Budgetary Tracking and Performance Framework: Without indicators telling us </w:t>
      </w:r>
      <w:r w:rsidR="0007257A">
        <w:rPr>
          <w:color w:val="355585"/>
          <w:sz w:val="28"/>
          <w:szCs w:val="14"/>
        </w:rPr>
        <w:t>where funding is going</w:t>
      </w:r>
      <w:r w:rsidR="006E0121">
        <w:rPr>
          <w:color w:val="355585"/>
          <w:sz w:val="28"/>
          <w:szCs w:val="14"/>
        </w:rPr>
        <w:t>,</w:t>
      </w:r>
      <w:r w:rsidR="0007257A">
        <w:rPr>
          <w:color w:val="355585"/>
          <w:sz w:val="28"/>
          <w:szCs w:val="14"/>
        </w:rPr>
        <w:t xml:space="preserve"> </w:t>
      </w:r>
      <w:r w:rsidR="00207ECB">
        <w:rPr>
          <w:color w:val="355585"/>
          <w:sz w:val="28"/>
          <w:szCs w:val="14"/>
        </w:rPr>
        <w:t xml:space="preserve">rights negating and financially inefficient </w:t>
      </w:r>
      <w:r w:rsidR="0007257A">
        <w:rPr>
          <w:color w:val="355585"/>
          <w:sz w:val="28"/>
          <w:szCs w:val="14"/>
        </w:rPr>
        <w:t xml:space="preserve">miss-investments </w:t>
      </w:r>
      <w:r w:rsidR="00207ECB">
        <w:rPr>
          <w:color w:val="355585"/>
          <w:sz w:val="28"/>
          <w:szCs w:val="14"/>
        </w:rPr>
        <w:t>will continue</w:t>
      </w:r>
    </w:p>
    <w:p w14:paraId="4B81E6A8" w14:textId="77777777" w:rsidR="00A36BAE" w:rsidRDefault="00A36BAE" w:rsidP="00380A8C">
      <w:pPr>
        <w:spacing w:line="247" w:lineRule="auto"/>
        <w:contextualSpacing/>
        <w:rPr>
          <w:color w:val="355585"/>
          <w:sz w:val="28"/>
          <w:szCs w:val="14"/>
        </w:rPr>
      </w:pPr>
    </w:p>
    <w:p w14:paraId="06573BEA" w14:textId="64D0EC3B" w:rsidR="00207ECB" w:rsidRDefault="00207ECB" w:rsidP="00380A8C">
      <w:pPr>
        <w:spacing w:line="247" w:lineRule="auto"/>
        <w:contextualSpacing/>
        <w:rPr>
          <w:color w:val="355585"/>
          <w:sz w:val="28"/>
          <w:szCs w:val="14"/>
        </w:rPr>
      </w:pPr>
      <w:r>
        <w:rPr>
          <w:color w:val="355585"/>
          <w:sz w:val="28"/>
          <w:szCs w:val="14"/>
        </w:rPr>
        <w:t>-</w:t>
      </w:r>
      <w:r w:rsidR="00A36BAE">
        <w:rPr>
          <w:color w:val="355585"/>
          <w:sz w:val="28"/>
          <w:szCs w:val="14"/>
        </w:rPr>
        <w:t xml:space="preserve"> Global Europe: </w:t>
      </w:r>
      <w:r w:rsidR="006E0121">
        <w:rPr>
          <w:color w:val="355585"/>
          <w:sz w:val="28"/>
          <w:szCs w:val="14"/>
        </w:rPr>
        <w:t xml:space="preserve">It is </w:t>
      </w:r>
      <w:r w:rsidR="000C19BE">
        <w:rPr>
          <w:color w:val="355585"/>
          <w:sz w:val="28"/>
          <w:szCs w:val="14"/>
        </w:rPr>
        <w:t xml:space="preserve">within our power to help disabled people to live in dignity globally, so we have a responsibility to do it </w:t>
      </w:r>
    </w:p>
    <w:p w14:paraId="34342092" w14:textId="77777777" w:rsidR="00673329" w:rsidRDefault="00673329" w:rsidP="00380A8C">
      <w:pPr>
        <w:spacing w:line="247" w:lineRule="auto"/>
        <w:contextualSpacing/>
        <w:rPr>
          <w:color w:val="355585"/>
          <w:sz w:val="28"/>
          <w:szCs w:val="14"/>
        </w:rPr>
      </w:pPr>
    </w:p>
    <w:p w14:paraId="77B8B29D" w14:textId="77777777" w:rsidR="00673329" w:rsidRDefault="00673329" w:rsidP="00380A8C">
      <w:pPr>
        <w:spacing w:line="247" w:lineRule="auto"/>
        <w:contextualSpacing/>
        <w:rPr>
          <w:color w:val="355585"/>
          <w:sz w:val="28"/>
          <w:szCs w:val="14"/>
        </w:rPr>
      </w:pPr>
    </w:p>
    <w:p w14:paraId="0B0117DC" w14:textId="77777777" w:rsidR="00673329" w:rsidRDefault="00673329" w:rsidP="00380A8C">
      <w:pPr>
        <w:spacing w:line="247" w:lineRule="auto"/>
        <w:contextualSpacing/>
        <w:rPr>
          <w:color w:val="355585"/>
          <w:sz w:val="28"/>
          <w:szCs w:val="14"/>
        </w:rPr>
      </w:pPr>
    </w:p>
    <w:p w14:paraId="603582D5" w14:textId="77777777" w:rsidR="00673329" w:rsidRDefault="00673329" w:rsidP="00380A8C">
      <w:pPr>
        <w:spacing w:line="247" w:lineRule="auto"/>
        <w:contextualSpacing/>
        <w:rPr>
          <w:color w:val="355585"/>
          <w:sz w:val="28"/>
          <w:szCs w:val="14"/>
        </w:rPr>
      </w:pPr>
    </w:p>
    <w:p w14:paraId="2B87D701" w14:textId="77777777" w:rsidR="00673329" w:rsidRDefault="00673329" w:rsidP="00380A8C">
      <w:pPr>
        <w:spacing w:line="247" w:lineRule="auto"/>
        <w:contextualSpacing/>
        <w:rPr>
          <w:color w:val="355585"/>
          <w:sz w:val="28"/>
          <w:szCs w:val="14"/>
        </w:rPr>
      </w:pPr>
    </w:p>
    <w:p w14:paraId="3BAF3CE5" w14:textId="77777777" w:rsidR="00673329" w:rsidRPr="003F1FCF" w:rsidRDefault="00673329" w:rsidP="00380A8C">
      <w:pPr>
        <w:spacing w:line="247" w:lineRule="auto"/>
        <w:contextualSpacing/>
        <w:rPr>
          <w:color w:val="355585"/>
          <w:sz w:val="28"/>
          <w:szCs w:val="14"/>
        </w:rPr>
      </w:pPr>
    </w:p>
    <w:p w14:paraId="3C7F4DBB" w14:textId="77777777" w:rsidR="00380E26" w:rsidRPr="003F1FCF" w:rsidRDefault="00380E26" w:rsidP="00380A8C">
      <w:pPr>
        <w:spacing w:line="247" w:lineRule="auto"/>
        <w:ind w:left="0" w:firstLine="0"/>
        <w:contextualSpacing/>
      </w:pPr>
    </w:p>
    <w:p w14:paraId="22F5EDA1" w14:textId="215B6C17" w:rsidR="00A17617" w:rsidRPr="00867483" w:rsidRDefault="004B786F" w:rsidP="00380A8C">
      <w:pPr>
        <w:contextualSpacing/>
        <w:rPr>
          <w:sz w:val="24"/>
        </w:rPr>
      </w:pPr>
      <w:r w:rsidRPr="00867483">
        <w:rPr>
          <w:sz w:val="24"/>
        </w:rPr>
        <w:t xml:space="preserve">Europe is challenged by growing disrespect for human rights, </w:t>
      </w:r>
      <w:r w:rsidR="003F1FCF" w:rsidRPr="00867483">
        <w:rPr>
          <w:sz w:val="24"/>
        </w:rPr>
        <w:t>increasing</w:t>
      </w:r>
      <w:r w:rsidR="000607ED" w:rsidRPr="00867483">
        <w:rPr>
          <w:sz w:val="24"/>
        </w:rPr>
        <w:t xml:space="preserve"> </w:t>
      </w:r>
      <w:r w:rsidR="00C5185A" w:rsidRPr="00867483">
        <w:rPr>
          <w:sz w:val="24"/>
        </w:rPr>
        <w:t xml:space="preserve">societal </w:t>
      </w:r>
      <w:r w:rsidR="000607ED" w:rsidRPr="00867483">
        <w:rPr>
          <w:sz w:val="24"/>
        </w:rPr>
        <w:t>challenges</w:t>
      </w:r>
      <w:r w:rsidR="00C5185A" w:rsidRPr="00867483">
        <w:rPr>
          <w:sz w:val="24"/>
        </w:rPr>
        <w:t xml:space="preserve">, unsustainable public finances and </w:t>
      </w:r>
      <w:r w:rsidR="00441064" w:rsidRPr="00867483">
        <w:rPr>
          <w:sz w:val="24"/>
        </w:rPr>
        <w:t xml:space="preserve">weak economic competitiveness. </w:t>
      </w:r>
      <w:r w:rsidR="00D26E40" w:rsidRPr="00867483">
        <w:rPr>
          <w:sz w:val="24"/>
        </w:rPr>
        <w:t xml:space="preserve">There is a </w:t>
      </w:r>
      <w:r w:rsidR="00E84E69" w:rsidRPr="00867483">
        <w:rPr>
          <w:sz w:val="24"/>
        </w:rPr>
        <w:t xml:space="preserve">very </w:t>
      </w:r>
      <w:r w:rsidR="00D26E40" w:rsidRPr="00867483">
        <w:rPr>
          <w:sz w:val="24"/>
        </w:rPr>
        <w:t>real risk that the next Multiannual Financial Framework might finance a</w:t>
      </w:r>
      <w:r w:rsidR="003B4B78" w:rsidRPr="00867483">
        <w:rPr>
          <w:sz w:val="24"/>
        </w:rPr>
        <w:t xml:space="preserve">n </w:t>
      </w:r>
      <w:r w:rsidR="000607ED" w:rsidRPr="00867483">
        <w:rPr>
          <w:sz w:val="24"/>
        </w:rPr>
        <w:t xml:space="preserve">escalation of all our problems. </w:t>
      </w:r>
      <w:r w:rsidR="00B419FE" w:rsidRPr="00867483">
        <w:rPr>
          <w:sz w:val="24"/>
        </w:rPr>
        <w:t xml:space="preserve">We are urging </w:t>
      </w:r>
      <w:r w:rsidR="00E84E69" w:rsidRPr="00867483">
        <w:rPr>
          <w:sz w:val="24"/>
        </w:rPr>
        <w:t>the rapporteurs and shadow rappo</w:t>
      </w:r>
      <w:r w:rsidR="00AC1D31" w:rsidRPr="00867483">
        <w:rPr>
          <w:sz w:val="24"/>
        </w:rPr>
        <w:t>rteurs to amend the MFF-regulations</w:t>
      </w:r>
      <w:r w:rsidR="00771288" w:rsidRPr="00867483">
        <w:rPr>
          <w:sz w:val="24"/>
        </w:rPr>
        <w:t>,</w:t>
      </w:r>
      <w:r w:rsidR="00AC1D31" w:rsidRPr="00867483">
        <w:rPr>
          <w:sz w:val="24"/>
        </w:rPr>
        <w:t xml:space="preserve"> to </w:t>
      </w:r>
      <w:r w:rsidR="00771288" w:rsidRPr="00867483">
        <w:rPr>
          <w:sz w:val="24"/>
        </w:rPr>
        <w:t xml:space="preserve">avoid a senseless burning of taxpayer`s money. </w:t>
      </w:r>
    </w:p>
    <w:p w14:paraId="67C2DF27" w14:textId="77777777" w:rsidR="00771288" w:rsidRPr="00867483" w:rsidRDefault="00771288" w:rsidP="00673329">
      <w:pPr>
        <w:ind w:left="0" w:firstLine="0"/>
        <w:contextualSpacing/>
        <w:rPr>
          <w:sz w:val="24"/>
        </w:rPr>
      </w:pPr>
    </w:p>
    <w:p w14:paraId="1A94F567" w14:textId="29FBB4B5" w:rsidR="00CA3B3D" w:rsidRPr="00C94B9A" w:rsidRDefault="00AB3859" w:rsidP="00673329">
      <w:pPr>
        <w:pStyle w:val="berschrift1"/>
        <w:numPr>
          <w:ilvl w:val="0"/>
          <w:numId w:val="0"/>
        </w:numPr>
        <w:ind w:left="605" w:hanging="605"/>
        <w:rPr>
          <w:b/>
          <w:color w:val="E76F35"/>
          <w:sz w:val="28"/>
          <w:szCs w:val="28"/>
          <w:lang w:val="en-GB"/>
        </w:rPr>
      </w:pPr>
      <w:r w:rsidRPr="00C94B9A">
        <w:rPr>
          <w:b/>
          <w:color w:val="E76F35"/>
          <w:sz w:val="28"/>
          <w:szCs w:val="28"/>
          <w:lang w:val="en-GB"/>
        </w:rPr>
        <w:t xml:space="preserve">Human </w:t>
      </w:r>
      <w:r w:rsidR="00546BE4" w:rsidRPr="00C94B9A">
        <w:rPr>
          <w:b/>
          <w:color w:val="E76F35"/>
          <w:sz w:val="28"/>
          <w:szCs w:val="28"/>
          <w:lang w:val="en-GB"/>
        </w:rPr>
        <w:t xml:space="preserve">Rights abuse hurts public finances </w:t>
      </w:r>
    </w:p>
    <w:p w14:paraId="1F6E3DE9" w14:textId="77777777" w:rsidR="00E8731C" w:rsidRPr="00867483" w:rsidRDefault="006B42F1" w:rsidP="005B1F24">
      <w:pPr>
        <w:contextualSpacing/>
        <w:rPr>
          <w:sz w:val="24"/>
        </w:rPr>
      </w:pPr>
      <w:r w:rsidRPr="00867483">
        <w:rPr>
          <w:sz w:val="24"/>
        </w:rPr>
        <w:t xml:space="preserve">Spending </w:t>
      </w:r>
      <w:r w:rsidR="008A14D3" w:rsidRPr="00867483">
        <w:rPr>
          <w:sz w:val="24"/>
        </w:rPr>
        <w:t>on disability</w:t>
      </w:r>
      <w:r w:rsidR="00263FC0" w:rsidRPr="00867483">
        <w:rPr>
          <w:sz w:val="24"/>
        </w:rPr>
        <w:t xml:space="preserve"> services which are not in line with fundamental rights, are driving up the costs and undermining </w:t>
      </w:r>
      <w:r w:rsidR="00E8731C" w:rsidRPr="00867483">
        <w:rPr>
          <w:sz w:val="24"/>
        </w:rPr>
        <w:t xml:space="preserve">prosperity. </w:t>
      </w:r>
    </w:p>
    <w:p w14:paraId="24373618" w14:textId="763ABF35" w:rsidR="00E8731C" w:rsidRDefault="00E2693C" w:rsidP="005B1F24">
      <w:pPr>
        <w:contextualSpacing/>
        <w:rPr>
          <w:sz w:val="24"/>
        </w:rPr>
      </w:pPr>
      <w:r>
        <w:rPr>
          <w:sz w:val="24"/>
        </w:rPr>
        <w:t xml:space="preserve"> </w:t>
      </w:r>
    </w:p>
    <w:p w14:paraId="65871C8F" w14:textId="676C9FB4" w:rsidR="00C94B9A" w:rsidRPr="00C94B9A" w:rsidRDefault="00C94B9A" w:rsidP="00C94B9A">
      <w:pPr>
        <w:pStyle w:val="Listenabsatz"/>
        <w:numPr>
          <w:ilvl w:val="0"/>
          <w:numId w:val="29"/>
        </w:numPr>
        <w:rPr>
          <w:color w:val="355585"/>
          <w:sz w:val="28"/>
          <w:szCs w:val="14"/>
        </w:rPr>
      </w:pPr>
      <w:r w:rsidRPr="00C94B9A">
        <w:rPr>
          <w:color w:val="355585"/>
          <w:sz w:val="28"/>
          <w:szCs w:val="14"/>
        </w:rPr>
        <w:t>Long-term care and institutions</w:t>
      </w:r>
    </w:p>
    <w:p w14:paraId="49426BF8" w14:textId="440FD634" w:rsidR="00B6494E" w:rsidRPr="00867483" w:rsidRDefault="00956D09" w:rsidP="0015367E">
      <w:pPr>
        <w:rPr>
          <w:sz w:val="24"/>
        </w:rPr>
      </w:pPr>
      <w:r w:rsidRPr="00867483">
        <w:rPr>
          <w:sz w:val="24"/>
        </w:rPr>
        <w:t>According to the OECD</w:t>
      </w:r>
      <w:r w:rsidR="00B87E0A">
        <w:rPr>
          <w:sz w:val="24"/>
        </w:rPr>
        <w:t>,</w:t>
      </w:r>
      <w:r w:rsidR="00E2366C" w:rsidRPr="00867483">
        <w:rPr>
          <w:sz w:val="24"/>
        </w:rPr>
        <w:t xml:space="preserve"> EU-countries </w:t>
      </w:r>
      <w:r w:rsidR="00646B33" w:rsidRPr="00867483">
        <w:rPr>
          <w:sz w:val="24"/>
        </w:rPr>
        <w:t xml:space="preserve">are </w:t>
      </w:r>
      <w:r w:rsidR="00E2366C" w:rsidRPr="00867483">
        <w:rPr>
          <w:sz w:val="24"/>
        </w:rPr>
        <w:t>spend</w:t>
      </w:r>
      <w:r w:rsidR="00646B33" w:rsidRPr="00867483">
        <w:rPr>
          <w:sz w:val="24"/>
        </w:rPr>
        <w:t>ing</w:t>
      </w:r>
      <w:r w:rsidR="00E2366C" w:rsidRPr="00867483">
        <w:rPr>
          <w:sz w:val="24"/>
        </w:rPr>
        <w:t xml:space="preserve"> up to 4,4% of their GDP on long-term care</w:t>
      </w:r>
      <w:r w:rsidR="00946D56" w:rsidRPr="00867483">
        <w:rPr>
          <w:sz w:val="24"/>
        </w:rPr>
        <w:t xml:space="preserve">. Nursing homes can account for </w:t>
      </w:r>
      <w:r w:rsidRPr="00867483">
        <w:rPr>
          <w:sz w:val="24"/>
        </w:rPr>
        <w:t>80% of these expenses.</w:t>
      </w:r>
      <w:r w:rsidRPr="00867483">
        <w:rPr>
          <w:rStyle w:val="Funotenzeichen"/>
          <w:sz w:val="24"/>
        </w:rPr>
        <w:footnoteReference w:id="1"/>
      </w:r>
      <w:r w:rsidRPr="00867483">
        <w:rPr>
          <w:sz w:val="24"/>
        </w:rPr>
        <w:t xml:space="preserve"> </w:t>
      </w:r>
      <w:r w:rsidR="00FE7C30">
        <w:rPr>
          <w:sz w:val="24"/>
        </w:rPr>
        <w:t xml:space="preserve">According to the European Commission, the cost of long-term care is projected to </w:t>
      </w:r>
      <w:r w:rsidR="004D6771">
        <w:rPr>
          <w:sz w:val="24"/>
        </w:rPr>
        <w:t xml:space="preserve">raise from 1,7% of GDP to </w:t>
      </w:r>
      <w:r w:rsidR="00B025F7">
        <w:rPr>
          <w:sz w:val="24"/>
        </w:rPr>
        <w:t>2,5% in the next decades.</w:t>
      </w:r>
      <w:r w:rsidR="00B025F7">
        <w:rPr>
          <w:rStyle w:val="Funotenzeichen"/>
          <w:sz w:val="24"/>
        </w:rPr>
        <w:footnoteReference w:id="2"/>
      </w:r>
      <w:r w:rsidR="00B025F7">
        <w:rPr>
          <w:sz w:val="24"/>
        </w:rPr>
        <w:t xml:space="preserve"> </w:t>
      </w:r>
      <w:r w:rsidR="002E61B7" w:rsidRPr="00867483">
        <w:rPr>
          <w:sz w:val="24"/>
        </w:rPr>
        <w:t xml:space="preserve">These are considerable expenses, considering public budgets are under strain. </w:t>
      </w:r>
      <w:r w:rsidR="005B1F24" w:rsidRPr="00867483">
        <w:rPr>
          <w:sz w:val="24"/>
        </w:rPr>
        <w:t xml:space="preserve">This spending is also financing the institutionalisation of disabled people. </w:t>
      </w:r>
    </w:p>
    <w:p w14:paraId="0ACFD2DF" w14:textId="61DCE71C" w:rsidR="0015367E" w:rsidRPr="00867483" w:rsidRDefault="00A17617" w:rsidP="0015367E">
      <w:pPr>
        <w:rPr>
          <w:sz w:val="24"/>
        </w:rPr>
      </w:pPr>
      <w:r w:rsidRPr="00867483">
        <w:rPr>
          <w:sz w:val="24"/>
        </w:rPr>
        <w:t xml:space="preserve">According to </w:t>
      </w:r>
      <w:proofErr w:type="spellStart"/>
      <w:r w:rsidRPr="00867483">
        <w:rPr>
          <w:sz w:val="24"/>
        </w:rPr>
        <w:t>Eurofound</w:t>
      </w:r>
      <w:proofErr w:type="spellEnd"/>
      <w:r w:rsidRPr="00867483">
        <w:rPr>
          <w:sz w:val="24"/>
        </w:rPr>
        <w:t>, the number of disabled people confined to institutions has increased by 29% in the last decade</w:t>
      </w:r>
      <w:r w:rsidR="00586D23" w:rsidRPr="00867483">
        <w:rPr>
          <w:rStyle w:val="Funotenzeichen"/>
          <w:sz w:val="24"/>
        </w:rPr>
        <w:footnoteReference w:id="3"/>
      </w:r>
      <w:r w:rsidR="005B1F24" w:rsidRPr="00867483">
        <w:rPr>
          <w:sz w:val="24"/>
        </w:rPr>
        <w:t xml:space="preserve">. </w:t>
      </w:r>
      <w:r w:rsidR="009070FD" w:rsidRPr="00867483">
        <w:rPr>
          <w:sz w:val="24"/>
        </w:rPr>
        <w:t>Institutions are not in line with the United Nations Convention on the Rights of Persons with Disabilities (UN CRPD</w:t>
      </w:r>
      <w:r w:rsidR="0015367E" w:rsidRPr="00867483">
        <w:rPr>
          <w:sz w:val="24"/>
        </w:rPr>
        <w:t>).</w:t>
      </w:r>
      <w:r w:rsidR="00132E65">
        <w:rPr>
          <w:sz w:val="24"/>
        </w:rPr>
        <w:t xml:space="preserve"> The increase in institutionalisations, is </w:t>
      </w:r>
      <w:r w:rsidR="00EA0B3F">
        <w:rPr>
          <w:sz w:val="24"/>
        </w:rPr>
        <w:t xml:space="preserve">fuelling the rising costs of long-term care. </w:t>
      </w:r>
    </w:p>
    <w:p w14:paraId="6DB8D119" w14:textId="77777777" w:rsidR="00C94B9A" w:rsidRPr="00C94B9A" w:rsidRDefault="00C94B9A" w:rsidP="00C94B9A">
      <w:pPr>
        <w:spacing w:line="276" w:lineRule="auto"/>
        <w:contextualSpacing/>
        <w:rPr>
          <w:color w:val="355585"/>
          <w:sz w:val="28"/>
          <w:szCs w:val="14"/>
        </w:rPr>
      </w:pPr>
    </w:p>
    <w:p w14:paraId="663A9A73" w14:textId="3BA6CEF2" w:rsidR="00C94B9A" w:rsidRPr="00C94B9A" w:rsidRDefault="00C94B9A" w:rsidP="00C94B9A">
      <w:pPr>
        <w:pStyle w:val="Listenabsatz"/>
        <w:numPr>
          <w:ilvl w:val="0"/>
          <w:numId w:val="29"/>
        </w:numPr>
        <w:spacing w:line="276" w:lineRule="auto"/>
        <w:rPr>
          <w:color w:val="355585"/>
          <w:sz w:val="28"/>
          <w:szCs w:val="14"/>
        </w:rPr>
      </w:pPr>
      <w:r w:rsidRPr="00C94B9A">
        <w:rPr>
          <w:color w:val="355585"/>
          <w:sz w:val="28"/>
          <w:szCs w:val="14"/>
        </w:rPr>
        <w:t>Employment, income and social protection</w:t>
      </w:r>
    </w:p>
    <w:p w14:paraId="72A9859C" w14:textId="77777777" w:rsidR="001E0B46" w:rsidRPr="00867483" w:rsidRDefault="005E5D02" w:rsidP="00ED45F7">
      <w:pPr>
        <w:spacing w:line="276" w:lineRule="auto"/>
        <w:contextualSpacing/>
        <w:rPr>
          <w:sz w:val="24"/>
        </w:rPr>
      </w:pPr>
      <w:r w:rsidRPr="00867483">
        <w:rPr>
          <w:sz w:val="24"/>
        </w:rPr>
        <w:t xml:space="preserve">According to Eurostat, between 2015 and 2024, the cost of social protection </w:t>
      </w:r>
      <w:r w:rsidR="001F05EE" w:rsidRPr="00867483">
        <w:rPr>
          <w:sz w:val="24"/>
        </w:rPr>
        <w:t xml:space="preserve">in the EU has increased from </w:t>
      </w:r>
      <w:r w:rsidR="00EE37A1" w:rsidRPr="00867483">
        <w:rPr>
          <w:sz w:val="24"/>
        </w:rPr>
        <w:t>EUR 3</w:t>
      </w:r>
      <w:r w:rsidR="00267E52" w:rsidRPr="00867483">
        <w:rPr>
          <w:sz w:val="24"/>
        </w:rPr>
        <w:t>.</w:t>
      </w:r>
      <w:r w:rsidR="00EE37A1" w:rsidRPr="00867483">
        <w:rPr>
          <w:sz w:val="24"/>
        </w:rPr>
        <w:t>4</w:t>
      </w:r>
      <w:r w:rsidR="00267E52" w:rsidRPr="00867483">
        <w:rPr>
          <w:sz w:val="24"/>
        </w:rPr>
        <w:t>85</w:t>
      </w:r>
      <w:r w:rsidR="00EE37A1" w:rsidRPr="00867483">
        <w:rPr>
          <w:sz w:val="24"/>
        </w:rPr>
        <w:t xml:space="preserve"> bn to EUR </w:t>
      </w:r>
      <w:r w:rsidR="00BE225A" w:rsidRPr="00867483">
        <w:rPr>
          <w:sz w:val="24"/>
        </w:rPr>
        <w:t>4</w:t>
      </w:r>
      <w:r w:rsidR="00E55285" w:rsidRPr="00867483">
        <w:rPr>
          <w:sz w:val="24"/>
        </w:rPr>
        <w:t>.</w:t>
      </w:r>
      <w:r w:rsidR="00BE225A" w:rsidRPr="00867483">
        <w:rPr>
          <w:sz w:val="24"/>
        </w:rPr>
        <w:t>8</w:t>
      </w:r>
      <w:r w:rsidR="00E55285" w:rsidRPr="00867483">
        <w:rPr>
          <w:sz w:val="24"/>
        </w:rPr>
        <w:t>01</w:t>
      </w:r>
      <w:r w:rsidR="00BE225A" w:rsidRPr="00867483">
        <w:rPr>
          <w:sz w:val="24"/>
        </w:rPr>
        <w:t xml:space="preserve"> bn.</w:t>
      </w:r>
      <w:r w:rsidR="00BE225A" w:rsidRPr="00867483">
        <w:rPr>
          <w:rStyle w:val="Funotenzeichen"/>
          <w:sz w:val="24"/>
        </w:rPr>
        <w:footnoteReference w:id="4"/>
      </w:r>
      <w:r w:rsidR="009004F0" w:rsidRPr="00867483">
        <w:rPr>
          <w:sz w:val="24"/>
        </w:rPr>
        <w:t xml:space="preserve"> </w:t>
      </w:r>
      <w:r w:rsidR="001458A9" w:rsidRPr="00867483">
        <w:rPr>
          <w:sz w:val="24"/>
        </w:rPr>
        <w:t xml:space="preserve">This cost increase is threatening the long-term sustainability of the system. </w:t>
      </w:r>
    </w:p>
    <w:p w14:paraId="4CC1B32F" w14:textId="77777777" w:rsidR="00B6494E" w:rsidRPr="00867483" w:rsidRDefault="00B6494E" w:rsidP="00ED45F7">
      <w:pPr>
        <w:spacing w:line="276" w:lineRule="auto"/>
        <w:contextualSpacing/>
        <w:rPr>
          <w:sz w:val="24"/>
        </w:rPr>
      </w:pPr>
    </w:p>
    <w:p w14:paraId="1A351CCE" w14:textId="10DA1A20" w:rsidR="00ED45F7" w:rsidRPr="00867483" w:rsidRDefault="002C7C1F" w:rsidP="001E0B46">
      <w:pPr>
        <w:spacing w:line="276" w:lineRule="auto"/>
        <w:ind w:left="0" w:firstLine="0"/>
        <w:contextualSpacing/>
        <w:rPr>
          <w:sz w:val="24"/>
        </w:rPr>
      </w:pPr>
      <w:r w:rsidRPr="00867483">
        <w:rPr>
          <w:sz w:val="24"/>
        </w:rPr>
        <w:lastRenderedPageBreak/>
        <w:t xml:space="preserve">Our economy is suffering from skills shortages. </w:t>
      </w:r>
      <w:r w:rsidR="00F25688" w:rsidRPr="00867483">
        <w:rPr>
          <w:sz w:val="24"/>
        </w:rPr>
        <w:t>In the EU, ten occupations report vacancy rates between 5%-8,4%.</w:t>
      </w:r>
      <w:r w:rsidRPr="00867483">
        <w:rPr>
          <w:rStyle w:val="Funotenzeichen"/>
          <w:sz w:val="24"/>
        </w:rPr>
        <w:footnoteReference w:id="5"/>
      </w:r>
    </w:p>
    <w:p w14:paraId="15CF05BA" w14:textId="77777777" w:rsidR="00F25688" w:rsidRPr="00867483" w:rsidRDefault="00F25688" w:rsidP="00ED45F7">
      <w:pPr>
        <w:spacing w:line="276" w:lineRule="auto"/>
        <w:contextualSpacing/>
        <w:rPr>
          <w:sz w:val="24"/>
        </w:rPr>
      </w:pPr>
    </w:p>
    <w:p w14:paraId="3D7F337B" w14:textId="7A689E98" w:rsidR="00FD00DC" w:rsidRPr="00867483" w:rsidRDefault="00AE76DB" w:rsidP="00FD00DC">
      <w:pPr>
        <w:spacing w:line="276" w:lineRule="auto"/>
        <w:contextualSpacing/>
        <w:rPr>
          <w:sz w:val="24"/>
        </w:rPr>
      </w:pPr>
      <w:r w:rsidRPr="00867483">
        <w:rPr>
          <w:sz w:val="24"/>
        </w:rPr>
        <w:t xml:space="preserve">In this context, </w:t>
      </w:r>
      <w:r w:rsidR="00136938" w:rsidRPr="00867483">
        <w:rPr>
          <w:sz w:val="24"/>
        </w:rPr>
        <w:t>we are stilly excluding disabled people from regular employment on a large scale</w:t>
      </w:r>
      <w:r w:rsidR="00A06A76" w:rsidRPr="00867483">
        <w:rPr>
          <w:sz w:val="24"/>
        </w:rPr>
        <w:t xml:space="preserve">. Not only do we </w:t>
      </w:r>
      <w:r w:rsidR="003F127F" w:rsidRPr="00867483">
        <w:rPr>
          <w:sz w:val="24"/>
        </w:rPr>
        <w:t>bar</w:t>
      </w:r>
      <w:r w:rsidR="00B34BB0" w:rsidRPr="00867483">
        <w:rPr>
          <w:sz w:val="24"/>
        </w:rPr>
        <w:t xml:space="preserve"> disabled people from their right to employment</w:t>
      </w:r>
      <w:r w:rsidR="009A03C1" w:rsidRPr="00867483">
        <w:rPr>
          <w:sz w:val="24"/>
        </w:rPr>
        <w:t xml:space="preserve">, </w:t>
      </w:r>
      <w:r w:rsidR="00B34BB0" w:rsidRPr="00867483">
        <w:rPr>
          <w:sz w:val="24"/>
        </w:rPr>
        <w:t>income</w:t>
      </w:r>
      <w:r w:rsidR="009A03C1" w:rsidRPr="00867483">
        <w:rPr>
          <w:sz w:val="24"/>
        </w:rPr>
        <w:t xml:space="preserve"> and housing</w:t>
      </w:r>
      <w:r w:rsidR="00B34BB0" w:rsidRPr="00867483">
        <w:rPr>
          <w:sz w:val="24"/>
        </w:rPr>
        <w:t xml:space="preserve">, we are also </w:t>
      </w:r>
      <w:r w:rsidR="006911A0" w:rsidRPr="00867483">
        <w:rPr>
          <w:sz w:val="24"/>
        </w:rPr>
        <w:t xml:space="preserve">depriving the economy of talent and </w:t>
      </w:r>
      <w:r w:rsidR="00C94DCB" w:rsidRPr="00867483">
        <w:rPr>
          <w:sz w:val="24"/>
        </w:rPr>
        <w:t>driving them into poverty</w:t>
      </w:r>
      <w:r w:rsidR="00FB48B2" w:rsidRPr="00867483">
        <w:rPr>
          <w:sz w:val="24"/>
        </w:rPr>
        <w:t xml:space="preserve">, homelessness and </w:t>
      </w:r>
      <w:r w:rsidR="00E71900" w:rsidRPr="00867483">
        <w:rPr>
          <w:sz w:val="24"/>
        </w:rPr>
        <w:t>dependency on social benefits</w:t>
      </w:r>
      <w:r w:rsidR="00FD00DC" w:rsidRPr="00867483">
        <w:rPr>
          <w:sz w:val="24"/>
        </w:rPr>
        <w:t xml:space="preserve">: </w:t>
      </w:r>
    </w:p>
    <w:p w14:paraId="554480ED" w14:textId="77777777" w:rsidR="00FD00DC" w:rsidRPr="00867483" w:rsidRDefault="00FD00DC" w:rsidP="00FD00DC">
      <w:pPr>
        <w:spacing w:line="276" w:lineRule="auto"/>
        <w:contextualSpacing/>
        <w:rPr>
          <w:sz w:val="24"/>
        </w:rPr>
      </w:pPr>
    </w:p>
    <w:p w14:paraId="6BF07F92" w14:textId="77777777" w:rsidR="00FD00DC" w:rsidRPr="00867483" w:rsidRDefault="00A17617" w:rsidP="00FD00DC">
      <w:pPr>
        <w:pStyle w:val="Listenabsatz"/>
        <w:numPr>
          <w:ilvl w:val="0"/>
          <w:numId w:val="26"/>
        </w:numPr>
        <w:spacing w:line="276" w:lineRule="auto"/>
        <w:rPr>
          <w:sz w:val="24"/>
        </w:rPr>
      </w:pPr>
      <w:r w:rsidRPr="00867483">
        <w:rPr>
          <w:sz w:val="24"/>
        </w:rPr>
        <w:t>Between 2010 and 2023 the disability employment gap has increased from 18,6% to 24,5%</w:t>
      </w:r>
      <w:r w:rsidR="00586D23" w:rsidRPr="00867483">
        <w:rPr>
          <w:rStyle w:val="Funotenzeichen"/>
          <w:sz w:val="24"/>
        </w:rPr>
        <w:footnoteReference w:id="6"/>
      </w:r>
    </w:p>
    <w:p w14:paraId="0EB8FE3E" w14:textId="77777777" w:rsidR="002170F2" w:rsidRPr="00867483" w:rsidRDefault="00805FA6" w:rsidP="00FD00DC">
      <w:pPr>
        <w:pStyle w:val="Listenabsatz"/>
        <w:numPr>
          <w:ilvl w:val="0"/>
          <w:numId w:val="26"/>
        </w:numPr>
        <w:spacing w:line="276" w:lineRule="auto"/>
        <w:rPr>
          <w:sz w:val="24"/>
        </w:rPr>
      </w:pPr>
      <w:r w:rsidRPr="00867483">
        <w:rPr>
          <w:sz w:val="24"/>
        </w:rPr>
        <w:t>A</w:t>
      </w:r>
      <w:r w:rsidR="00A17617" w:rsidRPr="00867483">
        <w:rPr>
          <w:sz w:val="24"/>
        </w:rPr>
        <w:t>ccording to Eurostat, in 2024 28,8% were at risk of poverty, compared to 17.9% of non</w:t>
      </w:r>
      <w:r w:rsidRPr="00867483">
        <w:rPr>
          <w:sz w:val="24"/>
        </w:rPr>
        <w:t>-</w:t>
      </w:r>
      <w:r w:rsidR="00A17617" w:rsidRPr="00867483">
        <w:rPr>
          <w:sz w:val="24"/>
        </w:rPr>
        <w:t>disabled people</w:t>
      </w:r>
      <w:r w:rsidR="00586D23" w:rsidRPr="00867483">
        <w:rPr>
          <w:rStyle w:val="Funotenzeichen"/>
          <w:sz w:val="24"/>
        </w:rPr>
        <w:footnoteReference w:id="7"/>
      </w:r>
    </w:p>
    <w:p w14:paraId="4C14E32F" w14:textId="4DF9BCAA" w:rsidR="00A17617" w:rsidRPr="00867483" w:rsidRDefault="00ED45F7" w:rsidP="00053E68">
      <w:pPr>
        <w:pStyle w:val="Listenabsatz"/>
        <w:numPr>
          <w:ilvl w:val="0"/>
          <w:numId w:val="26"/>
        </w:numPr>
        <w:spacing w:line="276" w:lineRule="auto"/>
        <w:rPr>
          <w:sz w:val="24"/>
        </w:rPr>
      </w:pPr>
      <w:r w:rsidRPr="00867483">
        <w:rPr>
          <w:sz w:val="24"/>
        </w:rPr>
        <w:t>In 2024, 68,2% of disabled people were at risk of poverty before social transfers and 20,7% after.</w:t>
      </w:r>
      <w:r w:rsidRPr="00867483">
        <w:rPr>
          <w:rStyle w:val="Funotenzeichen"/>
          <w:sz w:val="24"/>
        </w:rPr>
        <w:footnoteReference w:id="8"/>
      </w:r>
      <w:r w:rsidRPr="00867483">
        <w:rPr>
          <w:sz w:val="24"/>
        </w:rPr>
        <w:t xml:space="preserve"> </w:t>
      </w:r>
    </w:p>
    <w:p w14:paraId="001EDB32" w14:textId="6B157DAF" w:rsidR="005B49C4" w:rsidRPr="00867483" w:rsidRDefault="006D58F9" w:rsidP="00053E68">
      <w:pPr>
        <w:pStyle w:val="Listenabsatz"/>
        <w:numPr>
          <w:ilvl w:val="0"/>
          <w:numId w:val="26"/>
        </w:numPr>
        <w:spacing w:line="276" w:lineRule="auto"/>
        <w:rPr>
          <w:sz w:val="24"/>
        </w:rPr>
      </w:pPr>
      <w:r w:rsidRPr="00867483">
        <w:rPr>
          <w:sz w:val="24"/>
        </w:rPr>
        <w:t>In some EU member states a quarter of the homeless population report to have physical impairments and up to 60% to have a psychosocial impairment.</w:t>
      </w:r>
      <w:r w:rsidRPr="00867483">
        <w:rPr>
          <w:rStyle w:val="Funotenzeichen"/>
          <w:sz w:val="24"/>
        </w:rPr>
        <w:footnoteReference w:id="9"/>
      </w:r>
      <w:r w:rsidRPr="00867483">
        <w:rPr>
          <w:sz w:val="24"/>
        </w:rPr>
        <w:t xml:space="preserve">  </w:t>
      </w:r>
    </w:p>
    <w:p w14:paraId="56E016DB" w14:textId="77777777" w:rsidR="001E6529" w:rsidRDefault="001E6529" w:rsidP="001E6529">
      <w:pPr>
        <w:pStyle w:val="Listenabsatz"/>
        <w:spacing w:line="276" w:lineRule="auto"/>
        <w:ind w:firstLine="0"/>
        <w:rPr>
          <w:sz w:val="24"/>
        </w:rPr>
      </w:pPr>
    </w:p>
    <w:p w14:paraId="31C8C855" w14:textId="77777777" w:rsidR="00C94B9A" w:rsidRDefault="00C94B9A" w:rsidP="00C94B9A">
      <w:pPr>
        <w:pStyle w:val="Listenabsatz"/>
        <w:spacing w:line="276" w:lineRule="auto"/>
        <w:ind w:firstLine="0"/>
        <w:rPr>
          <w:sz w:val="24"/>
        </w:rPr>
      </w:pPr>
    </w:p>
    <w:p w14:paraId="642F5329" w14:textId="4DF16173" w:rsidR="001E6529" w:rsidRPr="009C15F6" w:rsidRDefault="00C94B9A" w:rsidP="009C15F6">
      <w:pPr>
        <w:pStyle w:val="Listenabsatz"/>
        <w:numPr>
          <w:ilvl w:val="0"/>
          <w:numId w:val="29"/>
        </w:numPr>
        <w:rPr>
          <w:color w:val="355585"/>
          <w:sz w:val="28"/>
          <w:szCs w:val="14"/>
        </w:rPr>
      </w:pPr>
      <w:r w:rsidRPr="00C94B9A">
        <w:rPr>
          <w:color w:val="355585"/>
          <w:sz w:val="28"/>
          <w:szCs w:val="14"/>
        </w:rPr>
        <w:t>Mutually reinforcing problems</w:t>
      </w:r>
    </w:p>
    <w:p w14:paraId="40486ED5" w14:textId="667BB9C6" w:rsidR="001E6529" w:rsidRPr="00867483" w:rsidRDefault="001E6529" w:rsidP="001E6529">
      <w:pPr>
        <w:spacing w:after="0" w:line="276" w:lineRule="auto"/>
        <w:jc w:val="left"/>
        <w:rPr>
          <w:sz w:val="24"/>
        </w:rPr>
      </w:pPr>
      <w:r w:rsidRPr="00867483">
        <w:rPr>
          <w:sz w:val="24"/>
        </w:rPr>
        <w:t>Institutionalisation</w:t>
      </w:r>
      <w:r w:rsidR="001974F7" w:rsidRPr="00867483">
        <w:rPr>
          <w:sz w:val="24"/>
        </w:rPr>
        <w:t>, poverty and homelessness</w:t>
      </w:r>
      <w:r w:rsidRPr="00867483">
        <w:rPr>
          <w:sz w:val="24"/>
        </w:rPr>
        <w:t xml:space="preserve"> </w:t>
      </w:r>
      <w:r w:rsidR="001974F7" w:rsidRPr="00867483">
        <w:rPr>
          <w:sz w:val="24"/>
        </w:rPr>
        <w:t>are</w:t>
      </w:r>
      <w:r w:rsidRPr="00867483">
        <w:rPr>
          <w:sz w:val="24"/>
        </w:rPr>
        <w:t xml:space="preserve"> often driven </w:t>
      </w:r>
      <w:r w:rsidR="0055137C" w:rsidRPr="00867483">
        <w:rPr>
          <w:sz w:val="24"/>
        </w:rPr>
        <w:t>by insufficient access to person-centre</w:t>
      </w:r>
      <w:r w:rsidR="003040EF" w:rsidRPr="00867483">
        <w:rPr>
          <w:sz w:val="24"/>
        </w:rPr>
        <w:t xml:space="preserve">d services, </w:t>
      </w:r>
      <w:r w:rsidR="0055137C" w:rsidRPr="00867483">
        <w:rPr>
          <w:sz w:val="24"/>
        </w:rPr>
        <w:t>employment and</w:t>
      </w:r>
      <w:r w:rsidR="004B0807" w:rsidRPr="00867483">
        <w:rPr>
          <w:sz w:val="24"/>
        </w:rPr>
        <w:t xml:space="preserve"> accessible</w:t>
      </w:r>
      <w:r w:rsidR="0055137C" w:rsidRPr="00867483">
        <w:rPr>
          <w:sz w:val="24"/>
        </w:rPr>
        <w:t xml:space="preserve"> housing. </w:t>
      </w:r>
      <w:r w:rsidR="00D32042" w:rsidRPr="00867483">
        <w:rPr>
          <w:sz w:val="24"/>
        </w:rPr>
        <w:t xml:space="preserve">Access to </w:t>
      </w:r>
      <w:r w:rsidR="001974F7" w:rsidRPr="00867483">
        <w:rPr>
          <w:sz w:val="24"/>
        </w:rPr>
        <w:t xml:space="preserve">employment is barred </w:t>
      </w:r>
      <w:r w:rsidR="004B0807" w:rsidRPr="00867483">
        <w:rPr>
          <w:sz w:val="24"/>
        </w:rPr>
        <w:t xml:space="preserve">due to a lack of supported employment programmes. </w:t>
      </w:r>
    </w:p>
    <w:p w14:paraId="23977540" w14:textId="009C8A3B" w:rsidR="004B0807" w:rsidRDefault="00FE4F7C" w:rsidP="001E6529">
      <w:pPr>
        <w:spacing w:after="0" w:line="276" w:lineRule="auto"/>
        <w:jc w:val="left"/>
        <w:rPr>
          <w:sz w:val="24"/>
        </w:rPr>
      </w:pPr>
      <w:r w:rsidRPr="00867483">
        <w:rPr>
          <w:sz w:val="24"/>
        </w:rPr>
        <w:t>For the entire EU, the OECD calculated the loss of GDP to stand at EUR 0,84-1,42 billion per year, causing losses in tax revenue of EUR 302-493 million.</w:t>
      </w:r>
      <w:r w:rsidR="000E1BB7" w:rsidRPr="00867483">
        <w:rPr>
          <w:rStyle w:val="Funotenzeichen"/>
          <w:sz w:val="24"/>
        </w:rPr>
        <w:footnoteReference w:id="10"/>
      </w:r>
    </w:p>
    <w:p w14:paraId="1C7618DE" w14:textId="77777777" w:rsidR="00535F0E" w:rsidRDefault="00535F0E" w:rsidP="001E6529">
      <w:pPr>
        <w:spacing w:after="0" w:line="276" w:lineRule="auto"/>
        <w:jc w:val="left"/>
        <w:rPr>
          <w:sz w:val="24"/>
        </w:rPr>
      </w:pPr>
    </w:p>
    <w:p w14:paraId="328326DF" w14:textId="77777777" w:rsidR="009C15F6" w:rsidRPr="00867483" w:rsidRDefault="009C15F6" w:rsidP="001E6529">
      <w:pPr>
        <w:spacing w:after="0" w:line="276" w:lineRule="auto"/>
        <w:jc w:val="left"/>
        <w:rPr>
          <w:sz w:val="24"/>
        </w:rPr>
      </w:pPr>
    </w:p>
    <w:p w14:paraId="0FAC6EB3" w14:textId="77777777" w:rsidR="00203997" w:rsidRPr="00867483" w:rsidRDefault="00203997" w:rsidP="003726C0">
      <w:pPr>
        <w:spacing w:after="0" w:line="276" w:lineRule="auto"/>
        <w:ind w:left="0" w:firstLine="0"/>
        <w:jc w:val="left"/>
        <w:rPr>
          <w:sz w:val="24"/>
        </w:rPr>
      </w:pPr>
    </w:p>
    <w:p w14:paraId="3743431E" w14:textId="0905DE2C" w:rsidR="00203997" w:rsidRPr="00C94B9A" w:rsidRDefault="00BE395F" w:rsidP="00203997">
      <w:pPr>
        <w:spacing w:after="0" w:line="276" w:lineRule="auto"/>
        <w:jc w:val="left"/>
        <w:rPr>
          <w:sz w:val="28"/>
          <w:szCs w:val="28"/>
        </w:rPr>
      </w:pPr>
      <w:r w:rsidRPr="00C94B9A">
        <w:rPr>
          <w:b/>
          <w:color w:val="E76F35"/>
          <w:sz w:val="28"/>
          <w:szCs w:val="28"/>
        </w:rPr>
        <w:lastRenderedPageBreak/>
        <w:t>The solutions are available</w:t>
      </w:r>
    </w:p>
    <w:p w14:paraId="585C594A" w14:textId="77777777" w:rsidR="00A17617" w:rsidRPr="00867483" w:rsidRDefault="00A17617" w:rsidP="00380A8C">
      <w:pPr>
        <w:contextualSpacing/>
        <w:rPr>
          <w:sz w:val="24"/>
        </w:rPr>
      </w:pPr>
    </w:p>
    <w:p w14:paraId="69DA5634" w14:textId="1C6ED974" w:rsidR="00A17617" w:rsidRDefault="00A17617" w:rsidP="00380A8C">
      <w:pPr>
        <w:contextualSpacing/>
        <w:rPr>
          <w:sz w:val="24"/>
        </w:rPr>
      </w:pPr>
      <w:r w:rsidRPr="00867483">
        <w:rPr>
          <w:sz w:val="24"/>
        </w:rPr>
        <w:t xml:space="preserve">Better access to </w:t>
      </w:r>
      <w:r w:rsidR="00AD7839" w:rsidRPr="00867483">
        <w:rPr>
          <w:sz w:val="24"/>
        </w:rPr>
        <w:t>person-centred services</w:t>
      </w:r>
      <w:r w:rsidRPr="00867483">
        <w:rPr>
          <w:sz w:val="24"/>
        </w:rPr>
        <w:t xml:space="preserve">, especially personal assistance, personal budgets, Centres for Independent Living but also supported employment and supported decision-making could improve the situation. </w:t>
      </w:r>
    </w:p>
    <w:p w14:paraId="512F7B80" w14:textId="77777777" w:rsidR="00277F87" w:rsidRDefault="00277F87" w:rsidP="00380A8C">
      <w:pPr>
        <w:contextualSpacing/>
        <w:rPr>
          <w:sz w:val="24"/>
        </w:rPr>
      </w:pPr>
    </w:p>
    <w:p w14:paraId="4B44F0C6" w14:textId="5272B768" w:rsidR="00277F87" w:rsidRDefault="00277F87" w:rsidP="00380A8C">
      <w:pPr>
        <w:contextualSpacing/>
        <w:rPr>
          <w:sz w:val="24"/>
        </w:rPr>
      </w:pPr>
      <w:r>
        <w:rPr>
          <w:sz w:val="24"/>
        </w:rPr>
        <w:t xml:space="preserve">These services are rights affirming. </w:t>
      </w:r>
      <w:r w:rsidR="00371BBB">
        <w:rPr>
          <w:sz w:val="24"/>
        </w:rPr>
        <w:t xml:space="preserve">By signing the UN CRPD, all EU member states have committed themselves to </w:t>
      </w:r>
      <w:r w:rsidR="00150B2B">
        <w:rPr>
          <w:sz w:val="24"/>
        </w:rPr>
        <w:t xml:space="preserve">provide person-centred services to enable disabled people to leave institutions and the meet support needs. </w:t>
      </w:r>
    </w:p>
    <w:p w14:paraId="7091CB0A" w14:textId="77777777" w:rsidR="009535D9" w:rsidRDefault="009535D9" w:rsidP="00380A8C">
      <w:pPr>
        <w:contextualSpacing/>
        <w:rPr>
          <w:sz w:val="24"/>
        </w:rPr>
      </w:pPr>
    </w:p>
    <w:p w14:paraId="0C5E1AA3" w14:textId="082B1AFA" w:rsidR="009535D9" w:rsidRDefault="009535D9" w:rsidP="00380A8C">
      <w:pPr>
        <w:contextualSpacing/>
        <w:rPr>
          <w:sz w:val="24"/>
        </w:rPr>
      </w:pPr>
      <w:r>
        <w:rPr>
          <w:sz w:val="24"/>
        </w:rPr>
        <w:t xml:space="preserve">There is growing evidence that those services are also more sustainable financially. </w:t>
      </w:r>
    </w:p>
    <w:p w14:paraId="196C90C1" w14:textId="77777777" w:rsidR="00A2779D" w:rsidRDefault="00A2779D" w:rsidP="00380A8C">
      <w:pPr>
        <w:contextualSpacing/>
        <w:rPr>
          <w:sz w:val="24"/>
        </w:rPr>
      </w:pPr>
    </w:p>
    <w:p w14:paraId="37C1BEFB" w14:textId="2396B972" w:rsidR="00A2779D" w:rsidRPr="00867483" w:rsidRDefault="00D945DB" w:rsidP="00380A8C">
      <w:pPr>
        <w:contextualSpacing/>
        <w:rPr>
          <w:sz w:val="24"/>
        </w:rPr>
      </w:pPr>
      <w:r>
        <w:rPr>
          <w:sz w:val="24"/>
        </w:rPr>
        <w:t>A study</w:t>
      </w:r>
      <w:r w:rsidR="00277F87">
        <w:rPr>
          <w:sz w:val="24"/>
        </w:rPr>
        <w:t xml:space="preserve"> </w:t>
      </w:r>
      <w:r w:rsidR="00590BBB">
        <w:rPr>
          <w:sz w:val="24"/>
        </w:rPr>
        <w:t>published in 2010 found that</w:t>
      </w:r>
      <w:r w:rsidRPr="00D945DB">
        <w:rPr>
          <w:sz w:val="24"/>
        </w:rPr>
        <w:t> </w:t>
      </w:r>
      <w:r w:rsidR="00590BBB">
        <w:rPr>
          <w:sz w:val="24"/>
        </w:rPr>
        <w:t>personal budgets</w:t>
      </w:r>
      <w:r w:rsidRPr="00D945DB">
        <w:rPr>
          <w:sz w:val="24"/>
        </w:rPr>
        <w:t xml:space="preserve"> can be economically advantageous compared to traditional supply-driven policies. Due to lower overhead costs, cost savings can be achieved</w:t>
      </w:r>
      <w:r w:rsidR="00590BBB">
        <w:rPr>
          <w:sz w:val="24"/>
        </w:rPr>
        <w:t>.</w:t>
      </w:r>
      <w:r w:rsidR="00590BBB">
        <w:rPr>
          <w:rStyle w:val="Funotenzeichen"/>
          <w:sz w:val="24"/>
        </w:rPr>
        <w:footnoteReference w:id="11"/>
      </w:r>
    </w:p>
    <w:p w14:paraId="1095A60B" w14:textId="77777777" w:rsidR="00E72F01" w:rsidRPr="00867483" w:rsidRDefault="00E72F01" w:rsidP="00380A8C">
      <w:pPr>
        <w:contextualSpacing/>
        <w:rPr>
          <w:sz w:val="24"/>
        </w:rPr>
      </w:pPr>
    </w:p>
    <w:p w14:paraId="6C002579" w14:textId="6735C4DB" w:rsidR="00E72F01" w:rsidRPr="00867483" w:rsidRDefault="000A0AB5" w:rsidP="00380A8C">
      <w:pPr>
        <w:contextualSpacing/>
        <w:rPr>
          <w:sz w:val="24"/>
        </w:rPr>
      </w:pPr>
      <w:r w:rsidRPr="00867483">
        <w:rPr>
          <w:sz w:val="24"/>
        </w:rPr>
        <w:t>There is new evidence from economics research according to which personal assistance produces productivity gains of EUR 535 million and EUR 405 million of budget savings within a ten-year period.</w:t>
      </w:r>
      <w:r w:rsidRPr="00867483">
        <w:rPr>
          <w:rStyle w:val="Funotenzeichen"/>
          <w:sz w:val="24"/>
        </w:rPr>
        <w:footnoteReference w:id="12"/>
      </w:r>
      <w:r w:rsidRPr="00867483">
        <w:rPr>
          <w:sz w:val="24"/>
        </w:rPr>
        <w:t xml:space="preserve">  </w:t>
      </w:r>
    </w:p>
    <w:p w14:paraId="7829FF6D" w14:textId="77777777" w:rsidR="00A17617" w:rsidRPr="00867483" w:rsidRDefault="00A17617" w:rsidP="00380A8C">
      <w:pPr>
        <w:contextualSpacing/>
        <w:rPr>
          <w:sz w:val="24"/>
        </w:rPr>
      </w:pPr>
    </w:p>
    <w:p w14:paraId="66F90CE5" w14:textId="5B444B7F" w:rsidR="00A17617" w:rsidRPr="00867483" w:rsidRDefault="00A17617" w:rsidP="00701A1A">
      <w:pPr>
        <w:contextualSpacing/>
        <w:rPr>
          <w:sz w:val="24"/>
        </w:rPr>
      </w:pPr>
      <w:r w:rsidRPr="00867483">
        <w:rPr>
          <w:sz w:val="24"/>
        </w:rPr>
        <w:t xml:space="preserve">Across the EU, there are severe implementation gaps when it comes to Independent Living Services. </w:t>
      </w:r>
    </w:p>
    <w:p w14:paraId="72EE4F25" w14:textId="77777777" w:rsidR="004D5D8A" w:rsidRPr="00867483" w:rsidRDefault="004D5D8A" w:rsidP="00701A1A">
      <w:pPr>
        <w:contextualSpacing/>
        <w:rPr>
          <w:sz w:val="24"/>
        </w:rPr>
      </w:pPr>
    </w:p>
    <w:p w14:paraId="7B709EDB" w14:textId="581B1BFF" w:rsidR="00A17617" w:rsidRPr="00867483" w:rsidRDefault="00A17617" w:rsidP="00A17617">
      <w:pPr>
        <w:numPr>
          <w:ilvl w:val="0"/>
          <w:numId w:val="20"/>
        </w:numPr>
        <w:spacing w:after="0" w:line="276" w:lineRule="auto"/>
        <w:jc w:val="left"/>
        <w:rPr>
          <w:sz w:val="24"/>
        </w:rPr>
      </w:pPr>
      <w:r w:rsidRPr="00867483">
        <w:rPr>
          <w:sz w:val="24"/>
        </w:rPr>
        <w:t>According to the ENIL Independent Living Surveys 2022 and 2024, the quality of personal assistance schemes is low</w:t>
      </w:r>
      <w:r w:rsidR="00E15E04" w:rsidRPr="00867483">
        <w:rPr>
          <w:rStyle w:val="Funotenzeichen"/>
          <w:sz w:val="24"/>
        </w:rPr>
        <w:footnoteReference w:id="13"/>
      </w:r>
    </w:p>
    <w:p w14:paraId="2A8B2674" w14:textId="1353C560" w:rsidR="00A17617" w:rsidRPr="00867483" w:rsidRDefault="00A17617" w:rsidP="00380A8C">
      <w:pPr>
        <w:numPr>
          <w:ilvl w:val="0"/>
          <w:numId w:val="20"/>
        </w:numPr>
        <w:spacing w:after="0" w:line="276" w:lineRule="auto"/>
        <w:contextualSpacing/>
        <w:jc w:val="left"/>
        <w:rPr>
          <w:sz w:val="24"/>
        </w:rPr>
      </w:pPr>
      <w:r w:rsidRPr="00867483">
        <w:rPr>
          <w:sz w:val="24"/>
        </w:rPr>
        <w:t>According to the ENIL Independent Living Roadmap, few countries have nation-wide personal budget schemes</w:t>
      </w:r>
      <w:r w:rsidR="00E15E04" w:rsidRPr="00867483">
        <w:rPr>
          <w:rStyle w:val="Funotenzeichen"/>
          <w:sz w:val="24"/>
        </w:rPr>
        <w:footnoteReference w:id="14"/>
      </w:r>
    </w:p>
    <w:p w14:paraId="0E524B93" w14:textId="77777777" w:rsidR="00A17617" w:rsidRPr="00867483" w:rsidRDefault="00A17617" w:rsidP="00380A8C">
      <w:pPr>
        <w:ind w:left="0" w:firstLine="0"/>
        <w:contextualSpacing/>
        <w:rPr>
          <w:sz w:val="24"/>
        </w:rPr>
      </w:pPr>
    </w:p>
    <w:p w14:paraId="63493AA3" w14:textId="7CF57A36" w:rsidR="003726C0" w:rsidRPr="00C94B9A" w:rsidRDefault="003726C0" w:rsidP="003726C0">
      <w:pPr>
        <w:spacing w:after="0" w:line="276" w:lineRule="auto"/>
        <w:jc w:val="left"/>
        <w:rPr>
          <w:sz w:val="28"/>
          <w:szCs w:val="28"/>
        </w:rPr>
      </w:pPr>
      <w:r w:rsidRPr="00C94B9A">
        <w:rPr>
          <w:b/>
          <w:color w:val="E76F35"/>
          <w:sz w:val="28"/>
          <w:szCs w:val="28"/>
        </w:rPr>
        <w:t>The current MFF-proposals</w:t>
      </w:r>
      <w:r w:rsidR="006160C2" w:rsidRPr="00C94B9A">
        <w:rPr>
          <w:b/>
          <w:color w:val="E76F35"/>
          <w:sz w:val="28"/>
          <w:szCs w:val="28"/>
        </w:rPr>
        <w:t xml:space="preserve"> are likely to deepen the problem</w:t>
      </w:r>
    </w:p>
    <w:p w14:paraId="265DFC67" w14:textId="77777777" w:rsidR="00BB3CB1" w:rsidRPr="00867483" w:rsidRDefault="00BB3CB1" w:rsidP="00FA2E6E">
      <w:pPr>
        <w:spacing w:after="242" w:line="276" w:lineRule="auto"/>
        <w:ind w:left="0" w:right="879" w:firstLine="0"/>
        <w:contextualSpacing/>
        <w:rPr>
          <w:sz w:val="24"/>
        </w:rPr>
      </w:pPr>
    </w:p>
    <w:p w14:paraId="32448429" w14:textId="766F7403" w:rsidR="00FA2E6E" w:rsidRPr="00867483" w:rsidRDefault="00501CA3" w:rsidP="007D4FA6">
      <w:pPr>
        <w:spacing w:after="242" w:line="276" w:lineRule="auto"/>
        <w:ind w:left="0" w:firstLine="0"/>
        <w:contextualSpacing/>
        <w:rPr>
          <w:sz w:val="24"/>
        </w:rPr>
      </w:pPr>
      <w:r w:rsidRPr="00867483">
        <w:rPr>
          <w:sz w:val="24"/>
        </w:rPr>
        <w:t>Ample evidence has been provided that a</w:t>
      </w:r>
      <w:r w:rsidR="009C3B41" w:rsidRPr="00867483">
        <w:rPr>
          <w:sz w:val="24"/>
        </w:rPr>
        <w:t xml:space="preserve"> comprehensive implementation of the UN CRPD in the EU</w:t>
      </w:r>
      <w:r w:rsidR="00A3223F" w:rsidRPr="00867483">
        <w:rPr>
          <w:sz w:val="24"/>
        </w:rPr>
        <w:t xml:space="preserve">, would not only </w:t>
      </w:r>
      <w:r w:rsidR="00211BD0" w:rsidRPr="00867483">
        <w:rPr>
          <w:sz w:val="24"/>
        </w:rPr>
        <w:t xml:space="preserve">allow disabled people to enjoy the rights they are entitled to. It would also support our economy and public finances. </w:t>
      </w:r>
    </w:p>
    <w:p w14:paraId="78639D72" w14:textId="77777777" w:rsidR="001132B7" w:rsidRPr="00867483" w:rsidRDefault="001132B7" w:rsidP="007D4FA6">
      <w:pPr>
        <w:spacing w:after="242" w:line="276" w:lineRule="auto"/>
        <w:ind w:left="0" w:firstLine="0"/>
        <w:contextualSpacing/>
        <w:rPr>
          <w:sz w:val="24"/>
        </w:rPr>
      </w:pPr>
    </w:p>
    <w:p w14:paraId="1E471CA1" w14:textId="7211BF14" w:rsidR="001132B7" w:rsidRPr="00867483" w:rsidRDefault="001132B7" w:rsidP="007D4FA6">
      <w:pPr>
        <w:spacing w:after="242" w:line="276" w:lineRule="auto"/>
        <w:ind w:left="0" w:firstLine="0"/>
        <w:contextualSpacing/>
        <w:rPr>
          <w:sz w:val="24"/>
        </w:rPr>
      </w:pPr>
      <w:r w:rsidRPr="00867483">
        <w:rPr>
          <w:sz w:val="24"/>
        </w:rPr>
        <w:t>The current MFF proposals fall sh</w:t>
      </w:r>
      <w:r w:rsidR="00E947E2" w:rsidRPr="00867483">
        <w:rPr>
          <w:sz w:val="24"/>
        </w:rPr>
        <w:t xml:space="preserve">ort </w:t>
      </w:r>
      <w:r w:rsidR="00516119" w:rsidRPr="00867483">
        <w:rPr>
          <w:sz w:val="24"/>
        </w:rPr>
        <w:t xml:space="preserve">of providing the needed framework conditions. </w:t>
      </w:r>
    </w:p>
    <w:p w14:paraId="77AC8A84" w14:textId="77777777" w:rsidR="00516119" w:rsidRPr="00867483" w:rsidRDefault="00516119" w:rsidP="007D4FA6">
      <w:pPr>
        <w:spacing w:after="242" w:line="276" w:lineRule="auto"/>
        <w:ind w:left="0" w:firstLine="0"/>
        <w:contextualSpacing/>
        <w:rPr>
          <w:sz w:val="24"/>
        </w:rPr>
      </w:pPr>
    </w:p>
    <w:p w14:paraId="1E821AD6" w14:textId="24DFD895" w:rsidR="00516119" w:rsidRDefault="00516119" w:rsidP="007D4FA6">
      <w:pPr>
        <w:spacing w:after="242" w:line="276" w:lineRule="auto"/>
        <w:ind w:left="0" w:firstLine="0"/>
        <w:contextualSpacing/>
        <w:rPr>
          <w:sz w:val="24"/>
        </w:rPr>
      </w:pPr>
      <w:r w:rsidRPr="00867483">
        <w:rPr>
          <w:sz w:val="24"/>
        </w:rPr>
        <w:t xml:space="preserve">- The National Regional Partnership Plan Regulation contains no </w:t>
      </w:r>
      <w:r w:rsidR="0041053E" w:rsidRPr="00867483">
        <w:rPr>
          <w:sz w:val="24"/>
        </w:rPr>
        <w:t>commitment to implement the UN CRPD in the EU</w:t>
      </w:r>
      <w:r w:rsidR="005E5251" w:rsidRPr="00867483">
        <w:rPr>
          <w:sz w:val="24"/>
        </w:rPr>
        <w:t>,</w:t>
      </w:r>
      <w:r w:rsidR="0041053E" w:rsidRPr="00867483">
        <w:rPr>
          <w:sz w:val="24"/>
        </w:rPr>
        <w:t xml:space="preserve"> no budgetary earmarking</w:t>
      </w:r>
      <w:r w:rsidR="00F47895" w:rsidRPr="00867483">
        <w:rPr>
          <w:sz w:val="24"/>
        </w:rPr>
        <w:t xml:space="preserve"> for the equal treatment and social inclusion of disabled people</w:t>
      </w:r>
      <w:r w:rsidR="005E5251" w:rsidRPr="00867483">
        <w:rPr>
          <w:sz w:val="24"/>
        </w:rPr>
        <w:t xml:space="preserve"> and no commitment to boost investments in person-centred services, supported employment and accessible housing</w:t>
      </w:r>
    </w:p>
    <w:p w14:paraId="034189C4" w14:textId="77777777" w:rsidR="00766287" w:rsidRPr="00867483" w:rsidRDefault="00766287" w:rsidP="007D4FA6">
      <w:pPr>
        <w:spacing w:after="242" w:line="276" w:lineRule="auto"/>
        <w:ind w:left="0" w:firstLine="0"/>
        <w:contextualSpacing/>
        <w:rPr>
          <w:sz w:val="24"/>
        </w:rPr>
      </w:pPr>
    </w:p>
    <w:p w14:paraId="61BCBAF3" w14:textId="3E15089B" w:rsidR="00F47895" w:rsidRDefault="00F47895" w:rsidP="007D4FA6">
      <w:pPr>
        <w:spacing w:after="242" w:line="276" w:lineRule="auto"/>
        <w:ind w:left="0" w:firstLine="0"/>
        <w:contextualSpacing/>
        <w:rPr>
          <w:sz w:val="24"/>
        </w:rPr>
      </w:pPr>
      <w:r w:rsidRPr="00867483">
        <w:rPr>
          <w:sz w:val="24"/>
        </w:rPr>
        <w:t xml:space="preserve">- The Budgetary Tracking and Performance Framework does not foresee indicators </w:t>
      </w:r>
      <w:r w:rsidR="008C5505" w:rsidRPr="00867483">
        <w:rPr>
          <w:sz w:val="24"/>
        </w:rPr>
        <w:t>to monitor EU spending on institutions, person-centred services, supported employment and accessible housing</w:t>
      </w:r>
    </w:p>
    <w:p w14:paraId="5CCB1172" w14:textId="77777777" w:rsidR="00766287" w:rsidRPr="00867483" w:rsidRDefault="00766287" w:rsidP="007D4FA6">
      <w:pPr>
        <w:spacing w:after="242" w:line="276" w:lineRule="auto"/>
        <w:ind w:left="0" w:firstLine="0"/>
        <w:contextualSpacing/>
        <w:rPr>
          <w:sz w:val="24"/>
        </w:rPr>
      </w:pPr>
    </w:p>
    <w:p w14:paraId="0D6EE80D" w14:textId="142C4D7E" w:rsidR="008C5505" w:rsidRPr="00867483" w:rsidRDefault="008C5505" w:rsidP="007D4FA6">
      <w:pPr>
        <w:spacing w:after="242" w:line="276" w:lineRule="auto"/>
        <w:ind w:left="0" w:firstLine="0"/>
        <w:contextualSpacing/>
        <w:rPr>
          <w:sz w:val="24"/>
        </w:rPr>
      </w:pPr>
      <w:r w:rsidRPr="00867483">
        <w:rPr>
          <w:sz w:val="24"/>
        </w:rPr>
        <w:t xml:space="preserve">- </w:t>
      </w:r>
      <w:r w:rsidR="004F6E5F" w:rsidRPr="00867483">
        <w:rPr>
          <w:sz w:val="24"/>
        </w:rPr>
        <w:t xml:space="preserve">The Global Europe programme </w:t>
      </w:r>
      <w:r w:rsidR="00472143" w:rsidRPr="00867483">
        <w:rPr>
          <w:sz w:val="24"/>
        </w:rPr>
        <w:t>has the objective</w:t>
      </w:r>
      <w:r w:rsidR="004F6E5F" w:rsidRPr="00867483">
        <w:rPr>
          <w:sz w:val="24"/>
        </w:rPr>
        <w:t xml:space="preserve"> to promote human rights world-wide but lacks </w:t>
      </w:r>
      <w:r w:rsidR="00472143" w:rsidRPr="00867483">
        <w:rPr>
          <w:sz w:val="24"/>
        </w:rPr>
        <w:t xml:space="preserve">any commitment to promote the UN CRPD. Better access to person-centred services, employment and housing globally </w:t>
      </w:r>
      <w:r w:rsidR="006C1851" w:rsidRPr="00867483">
        <w:rPr>
          <w:sz w:val="24"/>
        </w:rPr>
        <w:t>could reduce poverty, increase prosperity and stability</w:t>
      </w:r>
    </w:p>
    <w:p w14:paraId="4A6D9A34" w14:textId="77777777" w:rsidR="00FA2E6E" w:rsidRPr="00867483" w:rsidRDefault="00FA2E6E" w:rsidP="00FA2E6E">
      <w:pPr>
        <w:spacing w:after="242" w:line="276" w:lineRule="auto"/>
        <w:ind w:left="0" w:right="879" w:firstLine="0"/>
        <w:contextualSpacing/>
        <w:rPr>
          <w:sz w:val="24"/>
        </w:rPr>
      </w:pPr>
    </w:p>
    <w:p w14:paraId="500EDB70" w14:textId="17576A6E" w:rsidR="00FA2E6E" w:rsidRPr="00867483" w:rsidRDefault="00762DC2" w:rsidP="00FA2E6E">
      <w:pPr>
        <w:spacing w:after="242" w:line="276" w:lineRule="auto"/>
        <w:ind w:left="0" w:right="879" w:firstLine="0"/>
        <w:contextualSpacing/>
        <w:rPr>
          <w:sz w:val="24"/>
        </w:rPr>
      </w:pPr>
      <w:r w:rsidRPr="00867483">
        <w:rPr>
          <w:sz w:val="24"/>
        </w:rPr>
        <w:t xml:space="preserve">If those programs are left as they are, there is a high risk </w:t>
      </w:r>
      <w:r w:rsidR="004142DC" w:rsidRPr="00867483">
        <w:rPr>
          <w:sz w:val="24"/>
        </w:rPr>
        <w:t>of:</w:t>
      </w:r>
    </w:p>
    <w:p w14:paraId="3E8CF0BA" w14:textId="77777777" w:rsidR="004142DC" w:rsidRPr="00867483" w:rsidRDefault="004142DC" w:rsidP="00FA2E6E">
      <w:pPr>
        <w:spacing w:after="242" w:line="276" w:lineRule="auto"/>
        <w:ind w:left="0" w:right="879" w:firstLine="0"/>
        <w:contextualSpacing/>
        <w:rPr>
          <w:sz w:val="24"/>
        </w:rPr>
      </w:pPr>
    </w:p>
    <w:p w14:paraId="25091C08" w14:textId="572ABEC3" w:rsidR="00A5524E" w:rsidRDefault="004142DC" w:rsidP="004E2B7C">
      <w:pPr>
        <w:spacing w:after="242" w:line="276" w:lineRule="auto"/>
        <w:ind w:left="0" w:firstLine="0"/>
        <w:contextualSpacing/>
        <w:rPr>
          <w:sz w:val="24"/>
        </w:rPr>
      </w:pPr>
      <w:r w:rsidRPr="00867483">
        <w:rPr>
          <w:sz w:val="24"/>
        </w:rPr>
        <w:t xml:space="preserve">- </w:t>
      </w:r>
      <w:r w:rsidR="00033892" w:rsidRPr="00867483">
        <w:rPr>
          <w:sz w:val="24"/>
        </w:rPr>
        <w:t>No investments in</w:t>
      </w:r>
      <w:r w:rsidRPr="00867483">
        <w:rPr>
          <w:sz w:val="24"/>
        </w:rPr>
        <w:t xml:space="preserve"> person-centred services</w:t>
      </w:r>
      <w:r w:rsidR="00A5524E" w:rsidRPr="00867483">
        <w:rPr>
          <w:sz w:val="24"/>
        </w:rPr>
        <w:t xml:space="preserve"> which will continue to drive </w:t>
      </w:r>
      <w:r w:rsidR="00033892" w:rsidRPr="00867483">
        <w:rPr>
          <w:sz w:val="24"/>
        </w:rPr>
        <w:t xml:space="preserve">people into institutions out of employment and into poverty, </w:t>
      </w:r>
      <w:r w:rsidR="00B3123D" w:rsidRPr="00867483">
        <w:rPr>
          <w:sz w:val="24"/>
        </w:rPr>
        <w:t xml:space="preserve">simultaneously driving </w:t>
      </w:r>
      <w:r w:rsidR="00A5524E" w:rsidRPr="00867483">
        <w:rPr>
          <w:sz w:val="24"/>
        </w:rPr>
        <w:t>up</w:t>
      </w:r>
      <w:r w:rsidR="00B3123D" w:rsidRPr="00867483">
        <w:rPr>
          <w:sz w:val="24"/>
        </w:rPr>
        <w:t xml:space="preserve"> the</w:t>
      </w:r>
      <w:r w:rsidR="00A5524E" w:rsidRPr="00867483">
        <w:rPr>
          <w:sz w:val="24"/>
        </w:rPr>
        <w:t xml:space="preserve"> costs </w:t>
      </w:r>
      <w:r w:rsidR="00B3123D" w:rsidRPr="00867483">
        <w:rPr>
          <w:sz w:val="24"/>
        </w:rPr>
        <w:t xml:space="preserve">the </w:t>
      </w:r>
      <w:r w:rsidR="00A5524E" w:rsidRPr="00867483">
        <w:rPr>
          <w:sz w:val="24"/>
        </w:rPr>
        <w:t>for long-term care</w:t>
      </w:r>
      <w:r w:rsidR="00B3123D" w:rsidRPr="00867483">
        <w:rPr>
          <w:sz w:val="24"/>
        </w:rPr>
        <w:t xml:space="preserve"> and social protection</w:t>
      </w:r>
      <w:r w:rsidR="00526D6C" w:rsidRPr="00867483">
        <w:rPr>
          <w:sz w:val="24"/>
        </w:rPr>
        <w:t xml:space="preserve">, while deepening our skills shortages </w:t>
      </w:r>
    </w:p>
    <w:p w14:paraId="5C3831B4" w14:textId="77777777" w:rsidR="00766287" w:rsidRPr="00867483" w:rsidRDefault="00766287" w:rsidP="004E2B7C">
      <w:pPr>
        <w:spacing w:after="242" w:line="276" w:lineRule="auto"/>
        <w:ind w:left="0" w:firstLine="0"/>
        <w:contextualSpacing/>
        <w:rPr>
          <w:sz w:val="24"/>
        </w:rPr>
      </w:pPr>
    </w:p>
    <w:p w14:paraId="7C6BB4CA" w14:textId="6EFD5019" w:rsidR="00526D6C" w:rsidRDefault="00526D6C" w:rsidP="004E2B7C">
      <w:pPr>
        <w:spacing w:after="242" w:line="276" w:lineRule="auto"/>
        <w:ind w:left="0" w:firstLine="0"/>
        <w:contextualSpacing/>
        <w:rPr>
          <w:sz w:val="24"/>
        </w:rPr>
      </w:pPr>
      <w:r w:rsidRPr="00867483">
        <w:rPr>
          <w:sz w:val="24"/>
        </w:rPr>
        <w:t>- No investments in supported employment, pushing disabled people into poverty and homelessness</w:t>
      </w:r>
      <w:r w:rsidR="00137C5E" w:rsidRPr="00867483">
        <w:rPr>
          <w:sz w:val="24"/>
        </w:rPr>
        <w:t xml:space="preserve">, reducing spending power, providing downwards pressure </w:t>
      </w:r>
      <w:r w:rsidR="00B26201" w:rsidRPr="00867483">
        <w:rPr>
          <w:sz w:val="24"/>
        </w:rPr>
        <w:t>on GDP</w:t>
      </w:r>
    </w:p>
    <w:p w14:paraId="5541C812" w14:textId="77777777" w:rsidR="00766287" w:rsidRPr="00867483" w:rsidRDefault="00766287" w:rsidP="004E2B7C">
      <w:pPr>
        <w:spacing w:after="242" w:line="276" w:lineRule="auto"/>
        <w:ind w:left="0" w:firstLine="0"/>
        <w:contextualSpacing/>
        <w:rPr>
          <w:sz w:val="24"/>
        </w:rPr>
      </w:pPr>
    </w:p>
    <w:p w14:paraId="45ABD2FE" w14:textId="04BBDFB8" w:rsidR="00B26201" w:rsidRPr="00867483" w:rsidRDefault="00B26201" w:rsidP="004E2B7C">
      <w:pPr>
        <w:spacing w:after="242" w:line="276" w:lineRule="auto"/>
        <w:ind w:left="0" w:firstLine="0"/>
        <w:contextualSpacing/>
        <w:rPr>
          <w:sz w:val="24"/>
        </w:rPr>
      </w:pPr>
      <w:r w:rsidRPr="00867483">
        <w:rPr>
          <w:sz w:val="24"/>
        </w:rPr>
        <w:t>- If EU funds are used to build social and non-profit housing which is not accessible, a large portion of the homeless population will not able to use them</w:t>
      </w:r>
      <w:r w:rsidR="005519DE" w:rsidRPr="00867483">
        <w:rPr>
          <w:sz w:val="24"/>
        </w:rPr>
        <w:t>, making the investment redundant</w:t>
      </w:r>
    </w:p>
    <w:p w14:paraId="61943855" w14:textId="77777777" w:rsidR="00FA2E6E" w:rsidRPr="00867483" w:rsidRDefault="00FA2E6E" w:rsidP="00FA2E6E">
      <w:pPr>
        <w:spacing w:after="242" w:line="276" w:lineRule="auto"/>
        <w:ind w:left="0" w:right="879" w:firstLine="0"/>
        <w:contextualSpacing/>
        <w:rPr>
          <w:sz w:val="24"/>
        </w:rPr>
      </w:pPr>
    </w:p>
    <w:p w14:paraId="1DBEF63A" w14:textId="54917F71" w:rsidR="00831B80" w:rsidRPr="00867483" w:rsidRDefault="00C94B9A" w:rsidP="00FA2E6E">
      <w:pPr>
        <w:spacing w:after="242" w:line="276" w:lineRule="auto"/>
        <w:ind w:left="0" w:right="879" w:firstLine="0"/>
        <w:contextualSpacing/>
        <w:rPr>
          <w:sz w:val="24"/>
        </w:rPr>
      </w:pPr>
      <w:r w:rsidRPr="00C94B9A">
        <w:rPr>
          <w:b/>
          <w:color w:val="E76F35"/>
          <w:sz w:val="24"/>
        </w:rPr>
        <w:t>We urge all Members of the European Parliament to support the following changes to the regulations:</w:t>
      </w:r>
    </w:p>
    <w:p w14:paraId="40331DAD" w14:textId="77777777" w:rsidR="00C94B9A" w:rsidRDefault="00C94B9A" w:rsidP="00FA2E6E">
      <w:pPr>
        <w:spacing w:after="242" w:line="276" w:lineRule="auto"/>
        <w:ind w:left="0" w:right="879" w:firstLine="0"/>
        <w:contextualSpacing/>
        <w:rPr>
          <w:sz w:val="24"/>
        </w:rPr>
      </w:pPr>
    </w:p>
    <w:p w14:paraId="03370D13" w14:textId="13690E7E" w:rsidR="00C94B9A" w:rsidRPr="00867483" w:rsidRDefault="00C94B9A" w:rsidP="00FA2E6E">
      <w:pPr>
        <w:spacing w:after="242" w:line="276" w:lineRule="auto"/>
        <w:ind w:left="0" w:right="879" w:firstLine="0"/>
        <w:contextualSpacing/>
        <w:rPr>
          <w:sz w:val="24"/>
        </w:rPr>
      </w:pPr>
      <w:r w:rsidRPr="00C94B9A">
        <w:rPr>
          <w:color w:val="355585"/>
          <w:sz w:val="28"/>
          <w:szCs w:val="14"/>
        </w:rPr>
        <w:t>The National and Regional Partnership Plan Regulation</w:t>
      </w:r>
    </w:p>
    <w:p w14:paraId="4E024695" w14:textId="77777777" w:rsidR="00F24B11" w:rsidRPr="00867483" w:rsidRDefault="00F24B11" w:rsidP="0046247C">
      <w:pPr>
        <w:contextualSpacing/>
        <w:rPr>
          <w:rFonts w:eastAsia="Arial"/>
          <w:sz w:val="24"/>
        </w:rPr>
      </w:pPr>
    </w:p>
    <w:p w14:paraId="3D5739B5" w14:textId="77777777" w:rsidR="0046247C" w:rsidRPr="00867483" w:rsidRDefault="0046247C" w:rsidP="0046247C">
      <w:pPr>
        <w:contextualSpacing/>
        <w:rPr>
          <w:rFonts w:eastAsia="Arial"/>
          <w:sz w:val="24"/>
        </w:rPr>
      </w:pPr>
      <w:r w:rsidRPr="00867483">
        <w:rPr>
          <w:rFonts w:eastAsia="Arial"/>
          <w:sz w:val="24"/>
        </w:rPr>
        <w:t>The National and Regional Partnership Plans should make an active contribution to the implementation of the adopted legislation, especially the UN CRPD.</w:t>
      </w:r>
    </w:p>
    <w:p w14:paraId="564DA8AC" w14:textId="77777777" w:rsidR="0046247C" w:rsidRPr="00867483" w:rsidRDefault="0046247C" w:rsidP="0046247C">
      <w:pPr>
        <w:contextualSpacing/>
        <w:rPr>
          <w:rFonts w:eastAsia="Arial"/>
          <w:sz w:val="24"/>
        </w:rPr>
      </w:pPr>
    </w:p>
    <w:p w14:paraId="7C4CB91B" w14:textId="77777777" w:rsidR="0046247C" w:rsidRPr="00867483" w:rsidRDefault="0046247C" w:rsidP="0046247C">
      <w:pPr>
        <w:contextualSpacing/>
        <w:rPr>
          <w:rFonts w:eastAsia="Arial"/>
          <w:sz w:val="24"/>
        </w:rPr>
      </w:pPr>
      <w:r w:rsidRPr="00867483">
        <w:rPr>
          <w:rFonts w:eastAsia="Arial"/>
          <w:sz w:val="24"/>
        </w:rPr>
        <w:t>We recommend for example:</w:t>
      </w:r>
    </w:p>
    <w:p w14:paraId="26662CDB" w14:textId="77777777" w:rsidR="0046247C" w:rsidRPr="00867483" w:rsidRDefault="0046247C" w:rsidP="0046247C">
      <w:pPr>
        <w:pStyle w:val="Listenabsatz"/>
        <w:numPr>
          <w:ilvl w:val="0"/>
          <w:numId w:val="27"/>
        </w:numPr>
        <w:spacing w:after="160" w:line="276" w:lineRule="auto"/>
        <w:rPr>
          <w:b/>
          <w:bCs/>
          <w:sz w:val="24"/>
        </w:rPr>
      </w:pPr>
      <w:r w:rsidRPr="00867483">
        <w:rPr>
          <w:rFonts w:eastAsia="Arial"/>
          <w:sz w:val="24"/>
        </w:rPr>
        <w:t xml:space="preserve">Amending Article 7(1)(c new) on Horizontal principles stating that “Member States shall design the NRP Plan … in a way that ensures respect of … </w:t>
      </w:r>
      <w:r w:rsidRPr="00867483">
        <w:rPr>
          <w:sz w:val="24"/>
        </w:rPr>
        <w:t xml:space="preserve">(c new) </w:t>
      </w:r>
      <w:r w:rsidRPr="00867483">
        <w:rPr>
          <w:b/>
          <w:bCs/>
          <w:i/>
          <w:iCs/>
          <w:sz w:val="24"/>
        </w:rPr>
        <w:t xml:space="preserve">the norms and principles set out in the United Nations Convention on the Rights of Persons with Disabilities and </w:t>
      </w:r>
      <w:r w:rsidRPr="00867483">
        <w:rPr>
          <w:b/>
          <w:bCs/>
          <w:i/>
          <w:iCs/>
          <w:sz w:val="24"/>
        </w:rPr>
        <w:lastRenderedPageBreak/>
        <w:t>the authoritative documents issued by the UN Committee on the Rights of Persons with Disabilities</w:t>
      </w:r>
      <w:r w:rsidRPr="00867483">
        <w:rPr>
          <w:sz w:val="24"/>
        </w:rPr>
        <w:t>”.</w:t>
      </w:r>
    </w:p>
    <w:p w14:paraId="38D3A4B3" w14:textId="77777777" w:rsidR="0046247C" w:rsidRPr="00867483" w:rsidRDefault="0046247C" w:rsidP="0046247C">
      <w:pPr>
        <w:pStyle w:val="Listenabsatz"/>
        <w:spacing w:line="276" w:lineRule="auto"/>
        <w:rPr>
          <w:b/>
          <w:bCs/>
          <w:sz w:val="24"/>
        </w:rPr>
      </w:pPr>
    </w:p>
    <w:p w14:paraId="2A624A62" w14:textId="77777777" w:rsidR="0046247C" w:rsidRPr="00867483" w:rsidRDefault="0046247C" w:rsidP="0046247C">
      <w:pPr>
        <w:pStyle w:val="Listenabsatz"/>
        <w:numPr>
          <w:ilvl w:val="0"/>
          <w:numId w:val="27"/>
        </w:numPr>
        <w:spacing w:after="160" w:line="279" w:lineRule="auto"/>
        <w:rPr>
          <w:rFonts w:eastAsia="Arial"/>
          <w:sz w:val="24"/>
        </w:rPr>
      </w:pPr>
      <w:r w:rsidRPr="00867483">
        <w:rPr>
          <w:rFonts w:eastAsia="Arial"/>
          <w:sz w:val="24"/>
        </w:rPr>
        <w:t xml:space="preserve">Amending Article 8(1)(1a new) on Respect for the Charter of Fundamental Rights stating that “Member States shall put in place and maintain effective mechanisms to ensure compliance … with the relevant provisions of the Charter of Fundamental Rights </w:t>
      </w:r>
      <w:r w:rsidRPr="00867483">
        <w:rPr>
          <w:rFonts w:eastAsia="Arial"/>
          <w:b/>
          <w:bCs/>
          <w:i/>
          <w:iCs/>
          <w:sz w:val="24"/>
        </w:rPr>
        <w:t>and of the United Nations Convention on the Rights of Persons with Disabilities and authoritative documents issued by the UN Committee on the Rights of Persons with Disabilities</w:t>
      </w:r>
      <w:r w:rsidRPr="00867483">
        <w:rPr>
          <w:rFonts w:eastAsia="Arial"/>
          <w:sz w:val="24"/>
        </w:rPr>
        <w:t>”.</w:t>
      </w:r>
    </w:p>
    <w:p w14:paraId="17CC65E6" w14:textId="77777777" w:rsidR="0046247C" w:rsidRPr="00867483" w:rsidRDefault="0046247C" w:rsidP="0046247C">
      <w:pPr>
        <w:pStyle w:val="Listenabsatz"/>
        <w:rPr>
          <w:rFonts w:eastAsia="Arial"/>
          <w:sz w:val="24"/>
        </w:rPr>
      </w:pPr>
    </w:p>
    <w:p w14:paraId="176DE94C" w14:textId="77777777" w:rsidR="0046247C" w:rsidRPr="00867483" w:rsidRDefault="0046247C" w:rsidP="00BA3BE4">
      <w:pPr>
        <w:pStyle w:val="Listenabsatz"/>
        <w:numPr>
          <w:ilvl w:val="0"/>
          <w:numId w:val="27"/>
        </w:numPr>
        <w:spacing w:after="160" w:line="276" w:lineRule="auto"/>
        <w:rPr>
          <w:rFonts w:eastAsia="Arial"/>
          <w:sz w:val="24"/>
        </w:rPr>
      </w:pPr>
      <w:r w:rsidRPr="00867483">
        <w:rPr>
          <w:rFonts w:eastAsia="Arial"/>
          <w:sz w:val="24"/>
        </w:rPr>
        <w:t xml:space="preserve">Amending article 10(5) on Budget by 1. Increasing the envelope for spending on the Union`s social objectives from 14% to 25%, 2. Adding that this spending is also available for “equal treatment and fundamental rights objectives” and that </w:t>
      </w:r>
      <w:r w:rsidRPr="009C15F6">
        <w:rPr>
          <w:rFonts w:eastAsia="Arial"/>
          <w:b/>
          <w:bCs/>
          <w:i/>
          <w:iCs/>
          <w:sz w:val="24"/>
        </w:rPr>
        <w:t>“At least 10% of the Unions’ social spending shall be dedicated to the implementation of the UN CRPD in the EU.”</w:t>
      </w:r>
    </w:p>
    <w:p w14:paraId="5CBC4C60" w14:textId="77777777" w:rsidR="00BA3BE4" w:rsidRDefault="00BA3BE4" w:rsidP="00BA3BE4">
      <w:pPr>
        <w:spacing w:after="242" w:line="276" w:lineRule="auto"/>
        <w:ind w:right="879"/>
        <w:contextualSpacing/>
        <w:rPr>
          <w:color w:val="355585"/>
          <w:sz w:val="28"/>
          <w:szCs w:val="14"/>
        </w:rPr>
      </w:pPr>
    </w:p>
    <w:p w14:paraId="6E9BB9AF" w14:textId="6900108C" w:rsidR="0046247C" w:rsidRPr="00867483" w:rsidRDefault="00BA3BE4" w:rsidP="00BA3BE4">
      <w:pPr>
        <w:spacing w:line="276" w:lineRule="auto"/>
        <w:contextualSpacing/>
        <w:rPr>
          <w:rFonts w:eastAsia="Arial"/>
          <w:sz w:val="24"/>
        </w:rPr>
      </w:pPr>
      <w:r w:rsidRPr="00BA3BE4">
        <w:rPr>
          <w:color w:val="355585"/>
          <w:sz w:val="28"/>
          <w:szCs w:val="14"/>
        </w:rPr>
        <w:t>The Budgetary Tracking and Performance Framework</w:t>
      </w:r>
    </w:p>
    <w:p w14:paraId="21943BCC" w14:textId="77777777" w:rsidR="0046247C" w:rsidRPr="00867483" w:rsidRDefault="0046247C" w:rsidP="0046247C">
      <w:pPr>
        <w:spacing w:line="278" w:lineRule="auto"/>
        <w:contextualSpacing/>
        <w:rPr>
          <w:rFonts w:eastAsia="Arial"/>
          <w:b/>
          <w:bCs/>
          <w:sz w:val="24"/>
        </w:rPr>
      </w:pPr>
    </w:p>
    <w:p w14:paraId="4EC6D148" w14:textId="77777777" w:rsidR="0046247C" w:rsidRPr="00867483" w:rsidRDefault="0046247C" w:rsidP="0046247C">
      <w:pPr>
        <w:spacing w:line="278" w:lineRule="auto"/>
        <w:contextualSpacing/>
        <w:rPr>
          <w:rFonts w:eastAsia="Arial"/>
          <w:sz w:val="24"/>
        </w:rPr>
      </w:pPr>
      <w:r w:rsidRPr="00867483">
        <w:rPr>
          <w:rFonts w:eastAsia="Arial"/>
          <w:sz w:val="24"/>
        </w:rPr>
        <w:t xml:space="preserve">EU disability policy is suffering from an insufficient evidence base. We recommend initiating regular data collection for example on: </w:t>
      </w:r>
    </w:p>
    <w:p w14:paraId="3C579EA2" w14:textId="77777777" w:rsidR="0046247C" w:rsidRPr="00867483" w:rsidRDefault="0046247C" w:rsidP="0046247C">
      <w:pPr>
        <w:contextualSpacing/>
        <w:rPr>
          <w:rFonts w:eastAsia="Arial"/>
          <w:sz w:val="24"/>
        </w:rPr>
      </w:pPr>
    </w:p>
    <w:p w14:paraId="086D80C6" w14:textId="77777777" w:rsidR="0046247C" w:rsidRPr="00867483" w:rsidRDefault="0046247C" w:rsidP="0046247C">
      <w:pPr>
        <w:pStyle w:val="Listenabsatz"/>
        <w:numPr>
          <w:ilvl w:val="0"/>
          <w:numId w:val="28"/>
        </w:numPr>
        <w:spacing w:after="160" w:line="279" w:lineRule="auto"/>
        <w:rPr>
          <w:rFonts w:eastAsia="Arial"/>
          <w:sz w:val="24"/>
        </w:rPr>
      </w:pPr>
      <w:r w:rsidRPr="00867483">
        <w:rPr>
          <w:rFonts w:eastAsia="Arial"/>
          <w:sz w:val="24"/>
        </w:rPr>
        <w:t>The amount of EU Funds going into institutions and the number of people in institutions</w:t>
      </w:r>
    </w:p>
    <w:p w14:paraId="6BF1F030" w14:textId="77777777" w:rsidR="0046247C" w:rsidRPr="00867483" w:rsidRDefault="0046247C" w:rsidP="0046247C">
      <w:pPr>
        <w:pStyle w:val="Listenabsatz"/>
        <w:rPr>
          <w:rFonts w:eastAsia="Arial"/>
          <w:sz w:val="24"/>
        </w:rPr>
      </w:pPr>
    </w:p>
    <w:p w14:paraId="3B984D7C" w14:textId="77777777" w:rsidR="0046247C" w:rsidRPr="00867483" w:rsidRDefault="0046247C" w:rsidP="0046247C">
      <w:pPr>
        <w:pStyle w:val="Listenabsatz"/>
        <w:numPr>
          <w:ilvl w:val="0"/>
          <w:numId w:val="28"/>
        </w:numPr>
        <w:spacing w:after="160" w:line="279" w:lineRule="auto"/>
        <w:rPr>
          <w:rFonts w:eastAsia="Arial"/>
          <w:sz w:val="24"/>
        </w:rPr>
      </w:pPr>
      <w:r w:rsidRPr="00867483">
        <w:rPr>
          <w:rFonts w:eastAsia="Arial"/>
          <w:sz w:val="24"/>
        </w:rPr>
        <w:t xml:space="preserve">The amount of EU Funds going into personal assistance, personal budgets and Centres for Independent Living and the </w:t>
      </w:r>
      <w:proofErr w:type="gramStart"/>
      <w:r w:rsidRPr="00867483">
        <w:rPr>
          <w:rFonts w:eastAsia="Arial"/>
          <w:sz w:val="24"/>
        </w:rPr>
        <w:t>amount</w:t>
      </w:r>
      <w:proofErr w:type="gramEnd"/>
      <w:r w:rsidRPr="00867483">
        <w:rPr>
          <w:rFonts w:eastAsia="Arial"/>
          <w:sz w:val="24"/>
        </w:rPr>
        <w:t xml:space="preserve"> of users of these services </w:t>
      </w:r>
    </w:p>
    <w:p w14:paraId="5CE16530" w14:textId="77777777" w:rsidR="0046247C" w:rsidRPr="00867483" w:rsidRDefault="0046247C" w:rsidP="0046247C">
      <w:pPr>
        <w:pStyle w:val="Listenabsatz"/>
        <w:rPr>
          <w:rFonts w:eastAsia="Arial"/>
          <w:sz w:val="24"/>
        </w:rPr>
      </w:pPr>
    </w:p>
    <w:p w14:paraId="4DF3C5CB" w14:textId="77777777" w:rsidR="0046247C" w:rsidRPr="00867483" w:rsidRDefault="0046247C" w:rsidP="0046247C">
      <w:pPr>
        <w:pStyle w:val="Listenabsatz"/>
        <w:numPr>
          <w:ilvl w:val="0"/>
          <w:numId w:val="28"/>
        </w:numPr>
        <w:spacing w:after="160" w:line="279" w:lineRule="auto"/>
        <w:rPr>
          <w:rFonts w:eastAsia="Arial"/>
          <w:sz w:val="24"/>
        </w:rPr>
      </w:pPr>
      <w:r w:rsidRPr="00867483">
        <w:rPr>
          <w:sz w:val="24"/>
        </w:rPr>
        <w:t>The amount of EU Funds going into housing that is affordable and accessible for persons with disabilities and the amount of people benefiting from affordable and accessible housing</w:t>
      </w:r>
    </w:p>
    <w:p w14:paraId="1BF7D10B" w14:textId="77777777" w:rsidR="0046247C" w:rsidRPr="00867483" w:rsidRDefault="0046247C" w:rsidP="0046247C">
      <w:pPr>
        <w:pStyle w:val="Listenabsatz"/>
        <w:rPr>
          <w:rFonts w:eastAsia="Arial"/>
          <w:sz w:val="24"/>
        </w:rPr>
      </w:pPr>
    </w:p>
    <w:p w14:paraId="0D1B53BD" w14:textId="77777777" w:rsidR="0046247C" w:rsidRDefault="0046247C" w:rsidP="0046247C">
      <w:pPr>
        <w:pStyle w:val="Listenabsatz"/>
        <w:numPr>
          <w:ilvl w:val="0"/>
          <w:numId w:val="28"/>
        </w:numPr>
        <w:spacing w:after="160" w:line="276" w:lineRule="auto"/>
        <w:jc w:val="left"/>
        <w:rPr>
          <w:sz w:val="24"/>
        </w:rPr>
      </w:pPr>
      <w:r w:rsidRPr="00867483">
        <w:rPr>
          <w:sz w:val="24"/>
        </w:rPr>
        <w:t xml:space="preserve">The amount of EU Funds going into supported employment and the amount of people benefiting from such measures </w:t>
      </w:r>
    </w:p>
    <w:p w14:paraId="633D3443" w14:textId="77777777" w:rsidR="00BA3BE4" w:rsidRPr="00BA3BE4" w:rsidRDefault="00BA3BE4" w:rsidP="00BA3BE4">
      <w:pPr>
        <w:pStyle w:val="Listenabsatz"/>
        <w:rPr>
          <w:sz w:val="24"/>
        </w:rPr>
      </w:pPr>
    </w:p>
    <w:p w14:paraId="4F5AA372" w14:textId="6E566A9B" w:rsidR="00BA3BE4" w:rsidRPr="00BA3BE4" w:rsidRDefault="00BA3BE4" w:rsidP="00BA3BE4">
      <w:pPr>
        <w:spacing w:after="160" w:line="276" w:lineRule="auto"/>
        <w:ind w:left="11" w:hanging="11"/>
        <w:contextualSpacing/>
        <w:jc w:val="left"/>
        <w:rPr>
          <w:sz w:val="24"/>
        </w:rPr>
      </w:pPr>
      <w:r w:rsidRPr="00BA3BE4">
        <w:rPr>
          <w:color w:val="355585"/>
          <w:sz w:val="28"/>
          <w:szCs w:val="14"/>
        </w:rPr>
        <w:t>The Global Europe programme</w:t>
      </w:r>
    </w:p>
    <w:p w14:paraId="733C6D86" w14:textId="77777777" w:rsidR="0046247C" w:rsidRPr="00867483" w:rsidRDefault="0046247C" w:rsidP="00BA3BE4">
      <w:pPr>
        <w:ind w:left="11" w:hanging="11"/>
        <w:contextualSpacing/>
        <w:rPr>
          <w:rFonts w:eastAsia="Arial"/>
          <w:sz w:val="24"/>
        </w:rPr>
      </w:pPr>
    </w:p>
    <w:p w14:paraId="70429800" w14:textId="77777777" w:rsidR="0046247C" w:rsidRPr="00867483" w:rsidRDefault="0046247C" w:rsidP="00BA3BE4">
      <w:pPr>
        <w:ind w:left="11" w:hanging="11"/>
        <w:contextualSpacing/>
        <w:rPr>
          <w:rFonts w:eastAsia="Arial"/>
          <w:sz w:val="24"/>
        </w:rPr>
      </w:pPr>
      <w:r w:rsidRPr="00867483">
        <w:rPr>
          <w:rFonts w:eastAsia="Arial"/>
          <w:sz w:val="24"/>
        </w:rPr>
        <w:t xml:space="preserve">We recommend for example: </w:t>
      </w:r>
    </w:p>
    <w:p w14:paraId="45CE2E9D" w14:textId="77777777" w:rsidR="0046247C" w:rsidRPr="00867483" w:rsidRDefault="0046247C" w:rsidP="0046247C">
      <w:pPr>
        <w:pStyle w:val="Listenabsatz"/>
        <w:numPr>
          <w:ilvl w:val="0"/>
          <w:numId w:val="27"/>
        </w:numPr>
        <w:spacing w:after="160" w:line="276" w:lineRule="auto"/>
        <w:rPr>
          <w:sz w:val="24"/>
        </w:rPr>
      </w:pPr>
      <w:r w:rsidRPr="00867483">
        <w:rPr>
          <w:rFonts w:eastAsia="Arial"/>
          <w:sz w:val="24"/>
        </w:rPr>
        <w:t xml:space="preserve">Amend article 4, 1b “Objectives of the instrument” and include the United Nations Convention on the Rights of Persons with Disabilities (UN CRPD). </w:t>
      </w:r>
      <w:r w:rsidRPr="00867483">
        <w:rPr>
          <w:sz w:val="24"/>
        </w:rPr>
        <w:t xml:space="preserve">Article 4, 1b states that </w:t>
      </w:r>
      <w:r w:rsidRPr="00867483">
        <w:rPr>
          <w:sz w:val="24"/>
        </w:rPr>
        <w:lastRenderedPageBreak/>
        <w:t xml:space="preserve">Global Europe should contribute to the promotion of multilateralism and lists various international agreements the EU has concluded and whose implementation the programme should support. The UN CRPD is not listed. That is a missed opportunity which should be corrected. </w:t>
      </w:r>
    </w:p>
    <w:p w14:paraId="11DF0532" w14:textId="77777777" w:rsidR="0046247C" w:rsidRPr="00867483" w:rsidRDefault="0046247C" w:rsidP="0046247C">
      <w:pPr>
        <w:pStyle w:val="Listenabsatz"/>
        <w:spacing w:line="276" w:lineRule="auto"/>
        <w:rPr>
          <w:sz w:val="24"/>
        </w:rPr>
      </w:pPr>
    </w:p>
    <w:p w14:paraId="33D6FF92" w14:textId="77777777" w:rsidR="0046247C" w:rsidRPr="00867483" w:rsidRDefault="0046247C" w:rsidP="0046247C">
      <w:pPr>
        <w:pStyle w:val="Listenabsatz"/>
        <w:numPr>
          <w:ilvl w:val="0"/>
          <w:numId w:val="27"/>
        </w:numPr>
        <w:spacing w:after="160" w:line="279" w:lineRule="auto"/>
        <w:rPr>
          <w:rFonts w:eastAsia="Arial"/>
          <w:sz w:val="24"/>
        </w:rPr>
      </w:pPr>
      <w:r w:rsidRPr="00867483">
        <w:rPr>
          <w:rFonts w:eastAsia="Arial"/>
          <w:sz w:val="24"/>
        </w:rPr>
        <w:t>Amend Article 9 (4) “General Principles” and list “equal treatment and social inclusion”, “Independent Living”, “personal assistance” and “deinstitutionalisation” as actions to be promoted</w:t>
      </w:r>
    </w:p>
    <w:p w14:paraId="5A17448D" w14:textId="77777777" w:rsidR="0046247C" w:rsidRPr="00867483" w:rsidRDefault="0046247C" w:rsidP="0046247C">
      <w:pPr>
        <w:pStyle w:val="Listenabsatz"/>
        <w:rPr>
          <w:rFonts w:eastAsia="Arial"/>
          <w:sz w:val="24"/>
        </w:rPr>
      </w:pPr>
    </w:p>
    <w:p w14:paraId="49ADBE1F" w14:textId="77777777" w:rsidR="0046247C" w:rsidRPr="00867483" w:rsidRDefault="0046247C" w:rsidP="0046247C">
      <w:pPr>
        <w:pStyle w:val="Listenabsatz"/>
        <w:numPr>
          <w:ilvl w:val="0"/>
          <w:numId w:val="27"/>
        </w:numPr>
        <w:spacing w:after="160" w:line="279" w:lineRule="auto"/>
        <w:rPr>
          <w:rFonts w:eastAsia="Arial"/>
          <w:sz w:val="24"/>
        </w:rPr>
      </w:pPr>
      <w:r w:rsidRPr="00867483">
        <w:rPr>
          <w:rFonts w:eastAsia="Arial"/>
          <w:sz w:val="24"/>
        </w:rPr>
        <w:t xml:space="preserve">Amend articles 9 - General Principles - 5 and 6 by stating that “the instrument shall promote gender equality and girls` and women´s empowerment </w:t>
      </w:r>
      <w:r w:rsidRPr="00867483">
        <w:rPr>
          <w:rFonts w:eastAsia="Arial"/>
          <w:b/>
          <w:bCs/>
          <w:i/>
          <w:iCs/>
          <w:sz w:val="24"/>
        </w:rPr>
        <w:t>with a particular focus on the equal treatment of women with disabilities</w:t>
      </w:r>
      <w:r w:rsidRPr="00867483">
        <w:rPr>
          <w:rFonts w:eastAsia="Arial"/>
          <w:sz w:val="24"/>
        </w:rPr>
        <w:t xml:space="preserve">” </w:t>
      </w:r>
    </w:p>
    <w:p w14:paraId="47B6573E" w14:textId="77777777" w:rsidR="00831B80" w:rsidRPr="00867483" w:rsidRDefault="00831B80" w:rsidP="00831B80">
      <w:pPr>
        <w:pStyle w:val="Listenabsatz"/>
        <w:spacing w:after="160" w:line="279" w:lineRule="auto"/>
        <w:ind w:firstLine="0"/>
        <w:rPr>
          <w:rFonts w:eastAsia="Arial"/>
          <w:sz w:val="24"/>
        </w:rPr>
      </w:pPr>
    </w:p>
    <w:p w14:paraId="0C8F9946" w14:textId="57DB1171" w:rsidR="00FA2E6E" w:rsidRPr="00795DD6" w:rsidRDefault="00831B80" w:rsidP="00795DD6">
      <w:pPr>
        <w:spacing w:after="242" w:line="276" w:lineRule="auto"/>
        <w:ind w:left="0" w:firstLine="0"/>
        <w:contextualSpacing/>
        <w:rPr>
          <w:sz w:val="24"/>
        </w:rPr>
      </w:pPr>
      <w:r w:rsidRPr="00867483">
        <w:rPr>
          <w:sz w:val="24"/>
        </w:rPr>
        <w:t xml:space="preserve">We are ready to meet Members of the European Parliament to provide further information. </w:t>
      </w:r>
    </w:p>
    <w:p w14:paraId="675ADF82" w14:textId="77777777" w:rsidR="00921603" w:rsidRPr="00DB76D7" w:rsidRDefault="00921603" w:rsidP="00DC1492">
      <w:pPr>
        <w:pStyle w:val="berschrift1"/>
        <w:numPr>
          <w:ilvl w:val="0"/>
          <w:numId w:val="0"/>
        </w:numPr>
        <w:snapToGrid w:val="0"/>
        <w:spacing w:before="120" w:after="120" w:line="240" w:lineRule="auto"/>
        <w:ind w:left="605" w:hanging="605"/>
        <w:contextualSpacing/>
        <w:rPr>
          <w:b/>
          <w:bCs/>
          <w:sz w:val="28"/>
          <w:szCs w:val="28"/>
          <w:lang w:val="en-GB"/>
        </w:rPr>
      </w:pPr>
      <w:bookmarkStart w:id="0" w:name="_Toc203139454"/>
      <w:r w:rsidRPr="00DB76D7">
        <w:rPr>
          <w:b/>
          <w:bCs/>
          <w:sz w:val="28"/>
          <w:szCs w:val="28"/>
          <w:lang w:val="en-GB"/>
        </w:rPr>
        <w:t>About the European Network on Independent Living</w:t>
      </w:r>
      <w:bookmarkEnd w:id="0"/>
    </w:p>
    <w:p w14:paraId="243D742A" w14:textId="77777777" w:rsidR="00921603" w:rsidRPr="003F1FCF" w:rsidRDefault="00921603" w:rsidP="00DC1492">
      <w:pPr>
        <w:snapToGrid w:val="0"/>
        <w:spacing w:line="240" w:lineRule="auto"/>
        <w:contextualSpacing/>
        <w:rPr>
          <w:rFonts w:ascii="Arial" w:hAnsi="Arial" w:cs="Arial"/>
          <w:szCs w:val="22"/>
        </w:rPr>
      </w:pPr>
    </w:p>
    <w:p w14:paraId="649E4559" w14:textId="77777777" w:rsidR="00921603" w:rsidRPr="003F1FCF" w:rsidRDefault="00921603" w:rsidP="00DC1492">
      <w:pPr>
        <w:snapToGrid w:val="0"/>
        <w:spacing w:line="240" w:lineRule="auto"/>
        <w:contextualSpacing/>
      </w:pPr>
      <w:r w:rsidRPr="003F1FCF">
        <w:t>The European Network on Independent Living (ENIL) is a disabled-led, cross-disability network of disabled people and their representative organisations. ENIL promotes the right to independent living, as set out in Article 19 of the UN Convention on the Rights of Persons with Disabilities (CRPD), its General Comments and the Guidelines on deinstitutionalisation, including in emergencies. ENIL’s work is guided by the CRPD and the Independent Living principles, enshrined in the Independent Living Pillars. ENIL is active at the European level, and internationally, through cooperation with Centres for Independent Living from around the globe. ENIL’s actions and activities are based on the social and the human rights models of disability, and on the principles of inclusive equality, self-determination, solidarity and intersectionality.</w:t>
      </w:r>
    </w:p>
    <w:p w14:paraId="6D04AA09" w14:textId="77777777" w:rsidR="00DC1492" w:rsidRPr="003F1FCF" w:rsidRDefault="00DC1492" w:rsidP="00DC1492">
      <w:pPr>
        <w:snapToGrid w:val="0"/>
        <w:spacing w:line="240" w:lineRule="auto"/>
        <w:contextualSpacing/>
      </w:pPr>
    </w:p>
    <w:p w14:paraId="26D75C39" w14:textId="77777777" w:rsidR="00921603" w:rsidRPr="003F1FCF" w:rsidRDefault="00921603" w:rsidP="00DC1492">
      <w:pPr>
        <w:snapToGrid w:val="0"/>
        <w:spacing w:line="240" w:lineRule="auto"/>
        <w:contextualSpacing/>
      </w:pPr>
      <w:r w:rsidRPr="003F1FCF">
        <w:t>ENIL has participatory status with the Council of Europe (i.e. is a member of the Conference of INGOs) and consultative status with ECOSOC.</w:t>
      </w:r>
    </w:p>
    <w:p w14:paraId="2EF9B7F9" w14:textId="77777777" w:rsidR="00921603" w:rsidRPr="003F1FCF" w:rsidRDefault="00921603" w:rsidP="00DC1492">
      <w:pPr>
        <w:snapToGrid w:val="0"/>
        <w:spacing w:line="240" w:lineRule="auto"/>
        <w:contextualSpacing/>
      </w:pPr>
    </w:p>
    <w:p w14:paraId="3D1386F3" w14:textId="77777777" w:rsidR="00921603" w:rsidRPr="003F1FCF" w:rsidRDefault="00921603" w:rsidP="00DC1492">
      <w:pPr>
        <w:snapToGrid w:val="0"/>
        <w:spacing w:line="240" w:lineRule="auto"/>
        <w:ind w:left="11" w:hanging="11"/>
        <w:contextualSpacing/>
        <w:rPr>
          <w:b/>
          <w:bCs/>
        </w:rPr>
      </w:pPr>
      <w:r w:rsidRPr="003F1FCF">
        <w:rPr>
          <w:b/>
          <w:bCs/>
        </w:rPr>
        <w:t>Contact us</w:t>
      </w:r>
    </w:p>
    <w:p w14:paraId="312CFAA9" w14:textId="77777777" w:rsidR="00921603" w:rsidRPr="003F1FCF" w:rsidRDefault="00921603" w:rsidP="00DC1492">
      <w:pPr>
        <w:snapToGrid w:val="0"/>
        <w:spacing w:line="240" w:lineRule="auto"/>
        <w:ind w:left="11" w:hanging="11"/>
        <w:contextualSpacing/>
      </w:pPr>
      <w:r w:rsidRPr="003F1FCF">
        <w:t>European Network on Independent Living (ENIL)</w:t>
      </w:r>
    </w:p>
    <w:p w14:paraId="2598EBD4" w14:textId="77777777" w:rsidR="00921603" w:rsidRPr="003F1FCF" w:rsidRDefault="00921603" w:rsidP="00DC1492">
      <w:pPr>
        <w:snapToGrid w:val="0"/>
        <w:spacing w:line="240" w:lineRule="auto"/>
        <w:ind w:left="11" w:hanging="11"/>
        <w:contextualSpacing/>
      </w:pPr>
      <w:r w:rsidRPr="003F1FCF">
        <w:t>6thFloor – Mundo J</w:t>
      </w:r>
    </w:p>
    <w:p w14:paraId="769BF3F6" w14:textId="77777777" w:rsidR="00921603" w:rsidRPr="003F1FCF" w:rsidRDefault="00921603" w:rsidP="00DC1492">
      <w:pPr>
        <w:snapToGrid w:val="0"/>
        <w:spacing w:line="240" w:lineRule="auto"/>
        <w:ind w:left="11" w:hanging="11"/>
        <w:contextualSpacing/>
      </w:pPr>
      <w:r w:rsidRPr="003F1FCF">
        <w:t xml:space="preserve">Rue de </w:t>
      </w:r>
      <w:proofErr w:type="spellStart"/>
      <w:r w:rsidRPr="003F1FCF">
        <w:t>l’Industrie</w:t>
      </w:r>
      <w:proofErr w:type="spellEnd"/>
      <w:r w:rsidRPr="003F1FCF">
        <w:t xml:space="preserve"> 10</w:t>
      </w:r>
    </w:p>
    <w:p w14:paraId="57EB1D4D" w14:textId="77777777" w:rsidR="00921603" w:rsidRPr="003F1FCF" w:rsidRDefault="00921603" w:rsidP="00DC1492">
      <w:pPr>
        <w:snapToGrid w:val="0"/>
        <w:spacing w:line="240" w:lineRule="auto"/>
        <w:ind w:left="11" w:hanging="11"/>
        <w:contextualSpacing/>
      </w:pPr>
      <w:r w:rsidRPr="003F1FCF">
        <w:t>1000 Brussels</w:t>
      </w:r>
    </w:p>
    <w:p w14:paraId="71CFF367" w14:textId="77777777" w:rsidR="00921603" w:rsidRPr="003F1FCF" w:rsidRDefault="00921603" w:rsidP="00DC1492">
      <w:pPr>
        <w:snapToGrid w:val="0"/>
        <w:spacing w:line="240" w:lineRule="auto"/>
        <w:ind w:left="11" w:hanging="11"/>
        <w:contextualSpacing/>
      </w:pPr>
      <w:r w:rsidRPr="003F1FCF">
        <w:t>Belgium</w:t>
      </w:r>
    </w:p>
    <w:p w14:paraId="51B9ADDA" w14:textId="77777777" w:rsidR="00921603" w:rsidRPr="003F1FCF" w:rsidRDefault="00921603" w:rsidP="00DC1492">
      <w:pPr>
        <w:snapToGrid w:val="0"/>
        <w:spacing w:line="240" w:lineRule="auto"/>
        <w:ind w:left="11" w:hanging="11"/>
        <w:contextualSpacing/>
      </w:pPr>
      <w:r w:rsidRPr="003F1FCF">
        <w:t>E-mail: secretariat@enil.eu</w:t>
      </w:r>
    </w:p>
    <w:p w14:paraId="5B4F72B7" w14:textId="77777777" w:rsidR="00921603" w:rsidRPr="003F1FCF" w:rsidRDefault="00921603" w:rsidP="00DC1492">
      <w:pPr>
        <w:snapToGrid w:val="0"/>
        <w:spacing w:line="240" w:lineRule="auto"/>
        <w:ind w:left="11" w:hanging="11"/>
        <w:contextualSpacing/>
      </w:pPr>
      <w:r w:rsidRPr="003F1FCF">
        <w:t xml:space="preserve">Website: </w:t>
      </w:r>
      <w:hyperlink r:id="rId8" w:history="1">
        <w:r w:rsidRPr="003F1FCF">
          <w:rPr>
            <w:rStyle w:val="Hyperlink"/>
            <w:sz w:val="28"/>
            <w:szCs w:val="28"/>
          </w:rPr>
          <w:t>www.enil.eu</w:t>
        </w:r>
      </w:hyperlink>
      <w:r w:rsidRPr="003F1FCF">
        <w:t xml:space="preserve">  </w:t>
      </w:r>
    </w:p>
    <w:p w14:paraId="11F0AD40" w14:textId="77777777" w:rsidR="00921603" w:rsidRPr="003F1FCF" w:rsidRDefault="00921603" w:rsidP="00DC1492">
      <w:pPr>
        <w:snapToGrid w:val="0"/>
        <w:spacing w:line="240" w:lineRule="auto"/>
        <w:ind w:left="11" w:hanging="11"/>
        <w:contextualSpacing/>
      </w:pPr>
    </w:p>
    <w:p w14:paraId="37DE19FF" w14:textId="77777777" w:rsidR="00921603" w:rsidRPr="003F1FCF" w:rsidRDefault="00921603" w:rsidP="004E2B7C">
      <w:pPr>
        <w:pStyle w:val="KeinLeerraum"/>
        <w:snapToGrid w:val="0"/>
        <w:spacing w:before="120" w:after="120"/>
        <w:rPr>
          <w:lang w:val="en-GB"/>
        </w:rPr>
      </w:pPr>
    </w:p>
    <w:p w14:paraId="5E982027" w14:textId="77777777" w:rsidR="00921603" w:rsidRPr="003F1FCF" w:rsidRDefault="00921603" w:rsidP="004E2B7C">
      <w:pPr>
        <w:snapToGrid w:val="0"/>
        <w:spacing w:line="240" w:lineRule="auto"/>
        <w:jc w:val="left"/>
        <w:rPr>
          <w:rFonts w:ascii="Arial" w:hAnsi="Arial" w:cs="Arial"/>
          <w:sz w:val="28"/>
          <w:szCs w:val="28"/>
        </w:rPr>
      </w:pPr>
      <w:r w:rsidRPr="003F1FCF">
        <w:rPr>
          <w:rFonts w:ascii="Arial" w:hAnsi="Arial" w:cs="Arial"/>
          <w:noProof/>
          <w:sz w:val="28"/>
          <w:szCs w:val="28"/>
        </w:rPr>
        <w:drawing>
          <wp:inline distT="0" distB="0" distL="0" distR="0" wp14:anchorId="3DD10896" wp14:editId="1743421A">
            <wp:extent cx="2486546" cy="519675"/>
            <wp:effectExtent l="19050" t="0" r="9004" b="0"/>
            <wp:docPr id="5" name="Picture 1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Blue text on a white background&#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2486546" cy="519675"/>
                    </a:xfrm>
                    <a:prstGeom prst="rect">
                      <a:avLst/>
                    </a:prstGeom>
                  </pic:spPr>
                </pic:pic>
              </a:graphicData>
            </a:graphic>
          </wp:inline>
        </w:drawing>
      </w:r>
    </w:p>
    <w:p w14:paraId="0D16742D" w14:textId="77777777" w:rsidR="00921603" w:rsidRPr="003F1FCF" w:rsidRDefault="00921603" w:rsidP="004E2B7C">
      <w:pPr>
        <w:snapToGrid w:val="0"/>
        <w:spacing w:line="240" w:lineRule="auto"/>
        <w:jc w:val="left"/>
        <w:rPr>
          <w:rFonts w:ascii="Arial" w:hAnsi="Arial" w:cs="Arial"/>
          <w:sz w:val="28"/>
          <w:szCs w:val="28"/>
        </w:rPr>
      </w:pPr>
    </w:p>
    <w:p w14:paraId="3173AD6D" w14:textId="77777777" w:rsidR="00921603" w:rsidRPr="003F1FCF" w:rsidRDefault="00921603" w:rsidP="004E2B7C">
      <w:pPr>
        <w:snapToGrid w:val="0"/>
        <w:spacing w:line="240" w:lineRule="auto"/>
        <w:jc w:val="left"/>
        <w:rPr>
          <w:rFonts w:ascii="Arial" w:hAnsi="Arial" w:cs="Arial"/>
          <w:sz w:val="28"/>
          <w:szCs w:val="28"/>
        </w:rPr>
      </w:pPr>
      <w:r w:rsidRPr="003F1FCF">
        <w:rPr>
          <w:rFonts w:ascii="Arial" w:hAnsi="Arial" w:cs="Arial"/>
          <w:i/>
          <w:iCs/>
        </w:rPr>
        <w:t>Co-funded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2E1B55E0" w14:textId="77777777" w:rsidR="00BB3CB1" w:rsidRDefault="00BB3CB1" w:rsidP="00FA7BE0">
      <w:pPr>
        <w:spacing w:after="242" w:line="462" w:lineRule="auto"/>
        <w:ind w:left="0" w:right="879" w:firstLine="0"/>
      </w:pPr>
    </w:p>
    <w:sectPr w:rsidR="00BB3CB1" w:rsidSect="00FA7BE0">
      <w:headerReference w:type="default" r:id="rId10"/>
      <w:footerReference w:type="even" r:id="rId11"/>
      <w:footerReference w:type="default" r:id="rId12"/>
      <w:footerReference w:type="first" r:id="rId13"/>
      <w:pgSz w:w="11920" w:h="16840"/>
      <w:pgMar w:top="1309" w:right="1260" w:bottom="1300"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AC17" w14:textId="77777777" w:rsidR="00585E11" w:rsidRPr="003F1FCF" w:rsidRDefault="00585E11">
      <w:pPr>
        <w:spacing w:after="0" w:line="240" w:lineRule="auto"/>
      </w:pPr>
      <w:r w:rsidRPr="003F1FCF">
        <w:separator/>
      </w:r>
    </w:p>
  </w:endnote>
  <w:endnote w:type="continuationSeparator" w:id="0">
    <w:p w14:paraId="73A94F0B" w14:textId="77777777" w:rsidR="00585E11" w:rsidRPr="003F1FCF" w:rsidRDefault="00585E11">
      <w:pPr>
        <w:spacing w:after="0" w:line="240" w:lineRule="auto"/>
      </w:pPr>
      <w:r w:rsidRPr="003F1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4918" w14:textId="77777777" w:rsidR="00442839" w:rsidRPr="003F1FCF" w:rsidRDefault="0044283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D4DE" w14:textId="57B5984F" w:rsidR="00113C3B" w:rsidRPr="003F1FCF" w:rsidRDefault="00BA5601">
    <w:pPr>
      <w:pStyle w:val="Fuzeile"/>
      <w:jc w:val="right"/>
    </w:pPr>
    <w:r w:rsidRPr="003F1FCF">
      <w:t xml:space="preserve"> </w:t>
    </w:r>
    <w:sdt>
      <w:sdtPr>
        <w:id w:val="-840243094"/>
        <w:docPartObj>
          <w:docPartGallery w:val="Page Numbers (Bottom of Page)"/>
          <w:docPartUnique/>
        </w:docPartObj>
      </w:sdtPr>
      <w:sdtEndPr/>
      <w:sdtContent>
        <w:r w:rsidR="00113C3B" w:rsidRPr="003F1FCF">
          <w:fldChar w:fldCharType="begin"/>
        </w:r>
        <w:r w:rsidR="00113C3B" w:rsidRPr="003F1FCF">
          <w:instrText>PAGE   \* MERGEFORMAT</w:instrText>
        </w:r>
        <w:r w:rsidR="00113C3B" w:rsidRPr="003F1FCF">
          <w:fldChar w:fldCharType="separate"/>
        </w:r>
        <w:r w:rsidR="00113C3B" w:rsidRPr="003F1FCF">
          <w:t>2</w:t>
        </w:r>
        <w:r w:rsidR="00113C3B" w:rsidRPr="003F1FCF">
          <w:fldChar w:fldCharType="end"/>
        </w:r>
      </w:sdtContent>
    </w:sdt>
  </w:p>
  <w:p w14:paraId="65C80F5E" w14:textId="4B87A39E" w:rsidR="00442839" w:rsidRPr="003F1FCF" w:rsidRDefault="00442839" w:rsidP="00E73EA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0B09" w14:textId="77777777" w:rsidR="00442839" w:rsidRPr="003F1FCF" w:rsidRDefault="0044283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8EB9" w14:textId="77777777" w:rsidR="00585E11" w:rsidRPr="003F1FCF" w:rsidRDefault="00585E11">
      <w:pPr>
        <w:spacing w:after="0" w:line="240" w:lineRule="auto"/>
      </w:pPr>
      <w:r w:rsidRPr="003F1FCF">
        <w:separator/>
      </w:r>
    </w:p>
  </w:footnote>
  <w:footnote w:type="continuationSeparator" w:id="0">
    <w:p w14:paraId="7B5B4A33" w14:textId="77777777" w:rsidR="00585E11" w:rsidRPr="003F1FCF" w:rsidRDefault="00585E11">
      <w:pPr>
        <w:spacing w:after="0" w:line="240" w:lineRule="auto"/>
      </w:pPr>
      <w:r w:rsidRPr="003F1FCF">
        <w:continuationSeparator/>
      </w:r>
    </w:p>
  </w:footnote>
  <w:footnote w:id="1">
    <w:p w14:paraId="1680F261" w14:textId="3BEB59A1" w:rsidR="00956D09" w:rsidRPr="003F1FCF" w:rsidRDefault="00956D09">
      <w:pPr>
        <w:pStyle w:val="Funotentext"/>
      </w:pPr>
      <w:r w:rsidRPr="003F1FCF">
        <w:rPr>
          <w:rStyle w:val="Funotenzeichen"/>
        </w:rPr>
        <w:footnoteRef/>
      </w:r>
      <w:r w:rsidR="00581EDB">
        <w:t xml:space="preserve"> OECD, </w:t>
      </w:r>
      <w:hyperlink r:id="rId1" w:anchor="indicator-d1e36161-5548160ee5" w:history="1">
        <w:r w:rsidR="00BA1459" w:rsidRPr="003C7B43">
          <w:rPr>
            <w:rStyle w:val="Hyperlink"/>
          </w:rPr>
          <w:t>https://www.oecd.org/en/publications/health-at-a-glance-2023_7a7afb35-en/full-report/long-term-care-spending-and-unit-costs_cc989a20.html#indicator-d1e36161-5548160ee5</w:t>
        </w:r>
      </w:hyperlink>
      <w:r w:rsidRPr="003F1FCF">
        <w:t xml:space="preserve"> </w:t>
      </w:r>
    </w:p>
  </w:footnote>
  <w:footnote w:id="2">
    <w:p w14:paraId="2E9956D1" w14:textId="35C0C307" w:rsidR="00B025F7" w:rsidRPr="00B025F7" w:rsidRDefault="00B025F7">
      <w:pPr>
        <w:pStyle w:val="Funotentext"/>
        <w:rPr>
          <w:lang w:val="de-DE"/>
        </w:rPr>
      </w:pPr>
      <w:r>
        <w:rPr>
          <w:rStyle w:val="Funotenzeichen"/>
        </w:rPr>
        <w:footnoteRef/>
      </w:r>
      <w:r>
        <w:t xml:space="preserve"> </w:t>
      </w:r>
      <w:r w:rsidR="00D44DFA">
        <w:t>European Commission 202</w:t>
      </w:r>
      <w:r w:rsidR="00124D49">
        <w:t xml:space="preserve">1. The 2021 Ageing Report. </w:t>
      </w:r>
      <w:hyperlink r:id="rId2" w:history="1">
        <w:r w:rsidR="00124D49" w:rsidRPr="00BA56F7">
          <w:rPr>
            <w:rStyle w:val="Hyperlink"/>
          </w:rPr>
          <w:t>https://employment-social-affairs.ec.europa.eu/policies-and-activities/social-protection-social-inclusion/social-protection/long-term-care_en</w:t>
        </w:r>
      </w:hyperlink>
      <w:r w:rsidR="00124D49">
        <w:t xml:space="preserve"> </w:t>
      </w:r>
    </w:p>
  </w:footnote>
  <w:footnote w:id="3">
    <w:p w14:paraId="6197A3A6" w14:textId="2C4F72A9" w:rsidR="00586D23" w:rsidRPr="003F1FCF" w:rsidRDefault="00586D23">
      <w:pPr>
        <w:pStyle w:val="Funotentext"/>
      </w:pPr>
      <w:r w:rsidRPr="003F1FCF">
        <w:rPr>
          <w:rStyle w:val="Funotenzeichen"/>
        </w:rPr>
        <w:footnoteRef/>
      </w:r>
      <w:r w:rsidR="009D1636" w:rsidRPr="003F1FCF">
        <w:t xml:space="preserve"> </w:t>
      </w:r>
      <w:proofErr w:type="spellStart"/>
      <w:r w:rsidR="009D1636" w:rsidRPr="003F1FCF">
        <w:t>Eurofound</w:t>
      </w:r>
      <w:proofErr w:type="spellEnd"/>
      <w:r w:rsidR="009D1636" w:rsidRPr="003F1FCF">
        <w:t xml:space="preserve"> 2021. Paths towards Independent Living. </w:t>
      </w:r>
      <w:hyperlink r:id="rId3" w:history="1">
        <w:r w:rsidR="009D1636" w:rsidRPr="003F1FCF">
          <w:rPr>
            <w:rStyle w:val="Hyperlink"/>
          </w:rPr>
          <w:t>https://www.eurofound.europa.eu/en/publications/all/paths-towards-independent-living-and-social-inclusion-europe</w:t>
        </w:r>
      </w:hyperlink>
      <w:r w:rsidR="009D1636" w:rsidRPr="003F1FCF">
        <w:t xml:space="preserve"> </w:t>
      </w:r>
    </w:p>
  </w:footnote>
  <w:footnote w:id="4">
    <w:p w14:paraId="4879AECF" w14:textId="4C408D26" w:rsidR="00BE225A" w:rsidRPr="0034097D" w:rsidRDefault="00BE225A" w:rsidP="0034097D">
      <w:pPr>
        <w:pStyle w:val="Funotentext"/>
        <w:ind w:left="0" w:firstLine="0"/>
        <w:rPr>
          <w:b/>
          <w:bCs/>
          <w:lang/>
        </w:rPr>
      </w:pPr>
      <w:r>
        <w:rPr>
          <w:rStyle w:val="Funotenzeichen"/>
        </w:rPr>
        <w:footnoteRef/>
      </w:r>
      <w:r>
        <w:t xml:space="preserve"> </w:t>
      </w:r>
      <w:r w:rsidR="0078357B">
        <w:t>Eurostat 202</w:t>
      </w:r>
      <w:r w:rsidR="006E3411">
        <w:t>6</w:t>
      </w:r>
      <w:r w:rsidR="0078357B">
        <w:t xml:space="preserve">. </w:t>
      </w:r>
      <w:r w:rsidR="0034097D" w:rsidRPr="0078357B">
        <w:rPr>
          <w:lang/>
        </w:rPr>
        <w:t xml:space="preserve">Expenditure on social protection by type of expenditure. </w:t>
      </w:r>
      <w:hyperlink r:id="rId4" w:history="1">
        <w:r w:rsidR="0078357B" w:rsidRPr="005B37BA">
          <w:rPr>
            <w:rStyle w:val="Hyperlink"/>
          </w:rPr>
          <w:t>https://ec.europa.eu/eurostat/databrowser/view/spr_exp_type/default/table?lang=en&amp;category=spr.spr_exp</w:t>
        </w:r>
      </w:hyperlink>
      <w:r w:rsidR="00DF36E4">
        <w:t xml:space="preserve"> </w:t>
      </w:r>
    </w:p>
  </w:footnote>
  <w:footnote w:id="5">
    <w:p w14:paraId="1A28E890" w14:textId="47A46613" w:rsidR="002C7C1F" w:rsidRPr="002C7C1F" w:rsidRDefault="002C7C1F">
      <w:pPr>
        <w:pStyle w:val="Funotentext"/>
        <w:rPr>
          <w:lang w:val="de-DE"/>
        </w:rPr>
      </w:pPr>
      <w:r>
        <w:rPr>
          <w:rStyle w:val="Funotenzeichen"/>
        </w:rPr>
        <w:footnoteRef/>
      </w:r>
      <w:r>
        <w:t xml:space="preserve"> </w:t>
      </w:r>
      <w:r w:rsidR="00E07A2B" w:rsidRPr="00E07A2B">
        <w:t xml:space="preserve">Eurostat 2026. Job vacancy statistics. </w:t>
      </w:r>
      <w:hyperlink r:id="rId5" w:history="1">
        <w:r w:rsidR="00AE76DB" w:rsidRPr="005B37BA">
          <w:rPr>
            <w:rStyle w:val="Hyperlink"/>
          </w:rPr>
          <w:t>https://ec.europa.eu/eurostat/statistics-explained/index.php?title=Job_vacancy_statistics</w:t>
        </w:r>
      </w:hyperlink>
      <w:r w:rsidR="00AE76DB">
        <w:t xml:space="preserve"> </w:t>
      </w:r>
    </w:p>
  </w:footnote>
  <w:footnote w:id="6">
    <w:p w14:paraId="134559F2" w14:textId="680DD3DC" w:rsidR="00586D23" w:rsidRPr="003F1FCF" w:rsidRDefault="00586D23">
      <w:pPr>
        <w:pStyle w:val="Funotentext"/>
      </w:pPr>
      <w:r w:rsidRPr="003F1FCF">
        <w:rPr>
          <w:rStyle w:val="Funotenzeichen"/>
        </w:rPr>
        <w:footnoteRef/>
      </w:r>
      <w:r w:rsidRPr="003F1FCF">
        <w:t xml:space="preserve"> </w:t>
      </w:r>
      <w:r w:rsidR="00803111" w:rsidRPr="003F1FCF">
        <w:t xml:space="preserve">ENIL 2025. Advocacy Campaign for inclusive employment takes shape. </w:t>
      </w:r>
      <w:hyperlink r:id="rId6" w:history="1">
        <w:r w:rsidR="00ED02BD" w:rsidRPr="003F1FCF">
          <w:rPr>
            <w:rStyle w:val="Hyperlink"/>
          </w:rPr>
          <w:t>https://enil.eu/advocacy-campaign-for-inclusive-employment-takes-shape/</w:t>
        </w:r>
      </w:hyperlink>
      <w:r w:rsidR="00803111" w:rsidRPr="003F1FCF">
        <w:t xml:space="preserve"> </w:t>
      </w:r>
    </w:p>
  </w:footnote>
  <w:footnote w:id="7">
    <w:p w14:paraId="25265AC7" w14:textId="632189D8" w:rsidR="00586D23" w:rsidRPr="003F1FCF" w:rsidRDefault="00586D23" w:rsidP="00244307">
      <w:pPr>
        <w:pStyle w:val="Funotentext"/>
      </w:pPr>
      <w:r w:rsidRPr="003F1FCF">
        <w:rPr>
          <w:rStyle w:val="Funotenzeichen"/>
        </w:rPr>
        <w:footnoteRef/>
      </w:r>
      <w:r w:rsidRPr="003F1FCF">
        <w:t xml:space="preserve"> </w:t>
      </w:r>
      <w:r w:rsidR="00244307" w:rsidRPr="003F1FCF">
        <w:t xml:space="preserve">Eurostat 2025. Disability statistics - poverty and income inequalities. </w:t>
      </w:r>
      <w:hyperlink r:id="rId7" w:history="1">
        <w:r w:rsidR="00244307" w:rsidRPr="003F1FCF">
          <w:rPr>
            <w:rStyle w:val="Hyperlink"/>
          </w:rPr>
          <w:t>https://ec.europa.eu/eurostat/statistics-explained/index.php?title=Disability_statistics_-_poverty_and_income_inequalities</w:t>
        </w:r>
      </w:hyperlink>
      <w:r w:rsidR="00244307" w:rsidRPr="003F1FCF">
        <w:t xml:space="preserve">    </w:t>
      </w:r>
    </w:p>
  </w:footnote>
  <w:footnote w:id="8">
    <w:p w14:paraId="63122A9C" w14:textId="77777777" w:rsidR="00ED45F7" w:rsidRPr="004B7806" w:rsidRDefault="00ED45F7" w:rsidP="00ED45F7">
      <w:pPr>
        <w:pStyle w:val="Funotentext"/>
      </w:pPr>
      <w:r>
        <w:rPr>
          <w:rStyle w:val="Funotenzeichen"/>
        </w:rPr>
        <w:footnoteRef/>
      </w:r>
      <w:r>
        <w:t xml:space="preserve"> Eurostat 2025. Disability statistics - poverty and income inequalities. </w:t>
      </w:r>
      <w:hyperlink r:id="rId8" w:history="1">
        <w:r w:rsidRPr="00061DEF">
          <w:rPr>
            <w:rStyle w:val="Hyperlink"/>
          </w:rPr>
          <w:t>https://ec.europa.eu/eurostat/statistics-explained/index.php?title=Disability_statistics_-_poverty_and_income_inequalities</w:t>
        </w:r>
      </w:hyperlink>
    </w:p>
  </w:footnote>
  <w:footnote w:id="9">
    <w:p w14:paraId="5CA27627" w14:textId="7D9372E7" w:rsidR="006D58F9" w:rsidRPr="00D01003" w:rsidRDefault="006D58F9" w:rsidP="00D01003">
      <w:pPr>
        <w:pStyle w:val="Funotentext"/>
      </w:pPr>
      <w:r>
        <w:rPr>
          <w:rStyle w:val="Funotenzeichen"/>
        </w:rPr>
        <w:footnoteRef/>
      </w:r>
      <w:r>
        <w:t xml:space="preserve"> </w:t>
      </w:r>
      <w:r w:rsidR="00D01003">
        <w:t xml:space="preserve">OECD 2021. A crisis on the horizon: Ensuring affordable, accessible housing for people with disabilities. </w:t>
      </w:r>
      <w:hyperlink r:id="rId9" w:history="1">
        <w:r w:rsidR="00EB1D4A" w:rsidRPr="005B37BA">
          <w:rPr>
            <w:rStyle w:val="Hyperlink"/>
          </w:rPr>
          <w:t>https://www.oecd.org/content/dam/oecd/en/publications/reports/2021/09/a-crisis-on-the-horizon_f5739419/306e6993-en.pdf</w:t>
        </w:r>
      </w:hyperlink>
    </w:p>
  </w:footnote>
  <w:footnote w:id="10">
    <w:p w14:paraId="106FA26C" w14:textId="4A00D771" w:rsidR="000E1BB7" w:rsidRPr="000E1BB7" w:rsidRDefault="000E1BB7">
      <w:pPr>
        <w:pStyle w:val="Funotentext"/>
        <w:rPr>
          <w:lang w:val="de-DE"/>
        </w:rPr>
      </w:pPr>
      <w:r>
        <w:rPr>
          <w:rStyle w:val="Funotenzeichen"/>
        </w:rPr>
        <w:footnoteRef/>
      </w:r>
      <w:r>
        <w:t xml:space="preserve"> OECD 2025. </w:t>
      </w:r>
      <w:r w:rsidRPr="00BC759E">
        <w:t>Combat</w:t>
      </w:r>
      <w:r>
        <w:t>t</w:t>
      </w:r>
      <w:r w:rsidRPr="00BC759E">
        <w:t>ing Discrimination in the European Union.</w:t>
      </w:r>
      <w:r>
        <w:rPr>
          <w:b/>
          <w:bCs/>
        </w:rPr>
        <w:t xml:space="preserve"> </w:t>
      </w:r>
      <w:hyperlink r:id="rId10" w:history="1">
        <w:r w:rsidRPr="00B57887">
          <w:rPr>
            <w:rStyle w:val="Hyperlink"/>
          </w:rPr>
          <w:t>https://www.oecd.org/en/publications/combatting-discrimination-in-the-european-union_29c2c36a-en.html</w:t>
        </w:r>
      </w:hyperlink>
      <w:r>
        <w:t xml:space="preserve"> </w:t>
      </w:r>
    </w:p>
  </w:footnote>
  <w:footnote w:id="11">
    <w:p w14:paraId="68550DEC" w14:textId="33BF50E1" w:rsidR="00590BBB" w:rsidRPr="00590BBB" w:rsidRDefault="00590BBB">
      <w:pPr>
        <w:pStyle w:val="Funotentext"/>
        <w:rPr>
          <w:lang w:val="de-DE"/>
        </w:rPr>
      </w:pPr>
      <w:r>
        <w:rPr>
          <w:rStyle w:val="Funotenzeichen"/>
        </w:rPr>
        <w:footnoteRef/>
      </w:r>
      <w:r>
        <w:t xml:space="preserve"> </w:t>
      </w:r>
      <w:r w:rsidR="00535F0E" w:rsidRPr="00535F0E">
        <w:t xml:space="preserve">Da </w:t>
      </w:r>
      <w:proofErr w:type="spellStart"/>
      <w:r w:rsidR="00535F0E" w:rsidRPr="00535F0E">
        <w:t>Roit</w:t>
      </w:r>
      <w:proofErr w:type="spellEnd"/>
      <w:r w:rsidR="00535F0E" w:rsidRPr="00535F0E">
        <w:t>, B. and Le Bihan, B., ‘Similar and yet so different: Cash-for-care in six European Countries’ long-term care policies’, The Milbank Quarterly, Vol. 88, No 3, 2010, pp. 286-309.</w:t>
      </w:r>
    </w:p>
  </w:footnote>
  <w:footnote w:id="12">
    <w:p w14:paraId="47BF190F" w14:textId="64DFDFA7" w:rsidR="000A0AB5" w:rsidRPr="000A0AB5" w:rsidRDefault="000A0AB5">
      <w:pPr>
        <w:pStyle w:val="Funotentext"/>
        <w:rPr>
          <w:lang w:val="de-DE"/>
        </w:rPr>
      </w:pPr>
      <w:r>
        <w:rPr>
          <w:rStyle w:val="Funotenzeichen"/>
        </w:rPr>
        <w:footnoteRef/>
      </w:r>
      <w:r>
        <w:t xml:space="preserve"> </w:t>
      </w:r>
      <w:r>
        <w:rPr>
          <w:lang w:val="de-DE"/>
        </w:rPr>
        <w:t xml:space="preserve">Rasmussen et al. 2025: </w:t>
      </w:r>
      <w:proofErr w:type="spellStart"/>
      <w:r w:rsidRPr="006B1D1C">
        <w:t>Samfunnsøkonomisk</w:t>
      </w:r>
      <w:proofErr w:type="spellEnd"/>
      <w:r w:rsidRPr="006B1D1C">
        <w:t xml:space="preserve"> analyse </w:t>
      </w:r>
      <w:proofErr w:type="spellStart"/>
      <w:r w:rsidRPr="006B1D1C">
        <w:t>av</w:t>
      </w:r>
      <w:proofErr w:type="spellEnd"/>
      <w:r w:rsidRPr="006B1D1C">
        <w:t xml:space="preserve"> BPA-</w:t>
      </w:r>
      <w:proofErr w:type="spellStart"/>
      <w:r w:rsidRPr="006B1D1C">
        <w:t>ordningen</w:t>
      </w:r>
      <w:proofErr w:type="spellEnd"/>
      <w:r>
        <w:t xml:space="preserve">. </w:t>
      </w:r>
      <w:hyperlink r:id="rId11" w:history="1">
        <w:r w:rsidRPr="00F27EFC">
          <w:rPr>
            <w:rStyle w:val="Hyperlink"/>
          </w:rPr>
          <w:t>https://www.vista-analyse.no/no/publikasjoner/samfunnsokonomisk-analyse-av-bpa-ordningen/</w:t>
        </w:r>
      </w:hyperlink>
    </w:p>
  </w:footnote>
  <w:footnote w:id="13">
    <w:p w14:paraId="230DE9F8" w14:textId="4F82A31C" w:rsidR="00E15E04" w:rsidRPr="003F1FCF" w:rsidRDefault="00E15E04">
      <w:pPr>
        <w:pStyle w:val="Funotentext"/>
      </w:pPr>
      <w:r w:rsidRPr="003F1FCF">
        <w:rPr>
          <w:rStyle w:val="Funotenzeichen"/>
        </w:rPr>
        <w:footnoteRef/>
      </w:r>
      <w:r w:rsidRPr="003F1FCF">
        <w:t xml:space="preserve"> Comp.</w:t>
      </w:r>
      <w:r w:rsidR="0036525E" w:rsidRPr="003F1FCF">
        <w:t xml:space="preserve"> </w:t>
      </w:r>
      <w:r w:rsidRPr="003F1FCF">
        <w:t>ENIL 2022.</w:t>
      </w:r>
      <w:r w:rsidR="0064155C" w:rsidRPr="003F1FCF">
        <w:t xml:space="preserve"> </w:t>
      </w:r>
      <w:r w:rsidR="009906B5" w:rsidRPr="003F1FCF">
        <w:t>Independent Living Survey.</w:t>
      </w:r>
      <w:r w:rsidRPr="003F1FCF">
        <w:t xml:space="preserve"> </w:t>
      </w:r>
      <w:hyperlink r:id="rId12" w:history="1">
        <w:r w:rsidR="0036525E" w:rsidRPr="003F1FCF">
          <w:rPr>
            <w:rStyle w:val="Hyperlink"/>
          </w:rPr>
          <w:t>https://enil.eu/wp-content/uploads/2023/04/IL-Survey_Summary-report_Dec2022.pdf</w:t>
        </w:r>
      </w:hyperlink>
      <w:r w:rsidRPr="003F1FCF">
        <w:t>;</w:t>
      </w:r>
      <w:r w:rsidR="0036525E" w:rsidRPr="003F1FCF">
        <w:t xml:space="preserve"> </w:t>
      </w:r>
      <w:r w:rsidRPr="003F1FCF">
        <w:t xml:space="preserve">ENIL 2024. </w:t>
      </w:r>
      <w:r w:rsidR="0064155C" w:rsidRPr="003F1FCF">
        <w:t xml:space="preserve">Independent Living Survey 2024. </w:t>
      </w:r>
      <w:hyperlink r:id="rId13" w:history="1">
        <w:r w:rsidR="0064155C" w:rsidRPr="003F1FCF">
          <w:rPr>
            <w:rStyle w:val="Hyperlink"/>
          </w:rPr>
          <w:t>https://enil.eu/wp-content/uploads/2025/05/Independent-Living-Survey-2024_WEB.pdf</w:t>
        </w:r>
      </w:hyperlink>
      <w:r w:rsidR="0064155C" w:rsidRPr="003F1FCF">
        <w:t xml:space="preserve"> </w:t>
      </w:r>
    </w:p>
  </w:footnote>
  <w:footnote w:id="14">
    <w:p w14:paraId="0FC79EF6" w14:textId="6FAD4309" w:rsidR="00E15E04" w:rsidRPr="00E15E04" w:rsidRDefault="00E15E04">
      <w:pPr>
        <w:pStyle w:val="Funotentext"/>
        <w:rPr>
          <w:lang w:val="de-DE"/>
        </w:rPr>
      </w:pPr>
      <w:r w:rsidRPr="003F1FCF">
        <w:rPr>
          <w:rStyle w:val="Funotenzeichen"/>
        </w:rPr>
        <w:footnoteRef/>
      </w:r>
      <w:r w:rsidRPr="003F1FCF">
        <w:t xml:space="preserve"> </w:t>
      </w:r>
      <w:r w:rsidR="00496699" w:rsidRPr="003F1FCF">
        <w:t xml:space="preserve">ENIL 2025. Independent Living Roadmap. </w:t>
      </w:r>
      <w:hyperlink r:id="rId14" w:history="1">
        <w:r w:rsidR="00701A1A" w:rsidRPr="003F1FCF">
          <w:rPr>
            <w:rStyle w:val="Hyperlink"/>
          </w:rPr>
          <w:t>https://enil.eu/wp-content/uploads/2026/01/A-roadmap-on-Independent-Living.pdf</w:t>
        </w:r>
      </w:hyperlink>
      <w:r w:rsidR="00701A1A" w:rsidRPr="003F1FC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80" w:rightFromText="180" w:vertAnchor="text" w:horzAnchor="margin" w:tblpY="1"/>
      <w:tblOverlap w:val="never"/>
      <w:tblW w:w="18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505"/>
      <w:gridCol w:w="8505"/>
    </w:tblGrid>
    <w:tr w:rsidR="00715DE4" w:rsidRPr="003F1FCF" w14:paraId="60F10B84" w14:textId="2DD890D5" w:rsidTr="00715DE4">
      <w:trPr>
        <w:trHeight w:val="983"/>
      </w:trPr>
      <w:tc>
        <w:tcPr>
          <w:tcW w:w="1555" w:type="dxa"/>
        </w:tcPr>
        <w:p w14:paraId="57CD9754" w14:textId="77777777" w:rsidR="00715DE4" w:rsidRPr="003F1FCF" w:rsidRDefault="00715DE4" w:rsidP="00E73EAC">
          <w:pPr>
            <w:spacing w:after="160" w:line="259" w:lineRule="auto"/>
            <w:ind w:left="0" w:firstLine="0"/>
            <w:jc w:val="left"/>
          </w:pPr>
          <w:r w:rsidRPr="003F1FCF">
            <w:rPr>
              <w:noProof/>
            </w:rPr>
            <w:drawing>
              <wp:inline distT="0" distB="0" distL="0" distR="0" wp14:anchorId="1A53AF42" wp14:editId="17772476">
                <wp:extent cx="734378" cy="734692"/>
                <wp:effectExtent l="0" t="0" r="8890" b="8890"/>
                <wp:docPr id="43582104" name="Grafik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9943" name="Grafik 967379943"/>
                        <pic:cNvPicPr/>
                      </pic:nvPicPr>
                      <pic:blipFill>
                        <a:blip r:embed="rId1">
                          <a:extLst>
                            <a:ext uri="{28A0092B-C50C-407E-A947-70E740481C1C}">
                              <a14:useLocalDpi xmlns:a14="http://schemas.microsoft.com/office/drawing/2010/main" val="0"/>
                            </a:ext>
                          </a:extLst>
                        </a:blip>
                        <a:stretch>
                          <a:fillRect/>
                        </a:stretch>
                      </pic:blipFill>
                      <pic:spPr>
                        <a:xfrm>
                          <a:off x="0" y="0"/>
                          <a:ext cx="775315" cy="775646"/>
                        </a:xfrm>
                        <a:prstGeom prst="rect">
                          <a:avLst/>
                        </a:prstGeom>
                      </pic:spPr>
                    </pic:pic>
                  </a:graphicData>
                </a:graphic>
              </wp:inline>
            </w:drawing>
          </w:r>
        </w:p>
      </w:tc>
      <w:tc>
        <w:tcPr>
          <w:tcW w:w="8505" w:type="dxa"/>
        </w:tcPr>
        <w:p w14:paraId="0533583F" w14:textId="77777777" w:rsidR="00715DE4" w:rsidRPr="003F1FCF" w:rsidRDefault="00715DE4" w:rsidP="00E73EAC">
          <w:pPr>
            <w:spacing w:after="160" w:line="259" w:lineRule="auto"/>
            <w:ind w:left="0" w:firstLine="0"/>
            <w:jc w:val="left"/>
          </w:pPr>
        </w:p>
        <w:p w14:paraId="1DCD1D7D" w14:textId="623420B7" w:rsidR="00715DE4" w:rsidRPr="003F1FCF" w:rsidRDefault="00715DE4" w:rsidP="00E73EAC">
          <w:pPr>
            <w:spacing w:after="160" w:line="259" w:lineRule="auto"/>
            <w:ind w:left="0" w:firstLine="0"/>
            <w:jc w:val="left"/>
          </w:pPr>
          <w:r w:rsidRPr="003F1FCF">
            <w:rPr>
              <w:color w:val="355585"/>
              <w:sz w:val="24"/>
              <w:szCs w:val="12"/>
            </w:rPr>
            <w:t xml:space="preserve">European Network on Independent Living </w:t>
          </w:r>
        </w:p>
      </w:tc>
      <w:tc>
        <w:tcPr>
          <w:tcW w:w="8505" w:type="dxa"/>
        </w:tcPr>
        <w:p w14:paraId="68391238" w14:textId="77777777" w:rsidR="00715DE4" w:rsidRPr="003F1FCF" w:rsidRDefault="00715DE4" w:rsidP="00E73EAC">
          <w:pPr>
            <w:spacing w:after="160" w:line="259" w:lineRule="auto"/>
            <w:ind w:left="0" w:firstLine="0"/>
            <w:jc w:val="left"/>
          </w:pPr>
        </w:p>
      </w:tc>
    </w:tr>
  </w:tbl>
  <w:p w14:paraId="143056F7" w14:textId="34E6921A" w:rsidR="00E73EAC" w:rsidRPr="003F1FCF" w:rsidRDefault="00715DE4" w:rsidP="00DC1492">
    <w:pPr>
      <w:pStyle w:val="Kopfzeile"/>
      <w:tabs>
        <w:tab w:val="left" w:pos="4032"/>
      </w:tabs>
    </w:pPr>
    <w:r w:rsidRPr="003F1FCF">
      <w:tab/>
    </w:r>
    <w:r w:rsidRPr="003F1FCF">
      <w:tab/>
    </w:r>
    <w:r w:rsidR="00DC1492" w:rsidRPr="003F1FCF">
      <w:tab/>
    </w:r>
    <w:r w:rsidRPr="003F1F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ED1"/>
    <w:multiLevelType w:val="hybridMultilevel"/>
    <w:tmpl w:val="1D40A3C8"/>
    <w:lvl w:ilvl="0" w:tplc="D19A8B38">
      <w:start w:val="1"/>
      <w:numFmt w:val="bullet"/>
      <w:lvlText w:val="•"/>
      <w:lvlJc w:val="left"/>
      <w:pPr>
        <w:ind w:left="237"/>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1" w:tplc="62B41D36">
      <w:start w:val="1"/>
      <w:numFmt w:val="bullet"/>
      <w:lvlText w:val="o"/>
      <w:lvlJc w:val="left"/>
      <w:pPr>
        <w:ind w:left="108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2" w:tplc="0C266236">
      <w:start w:val="1"/>
      <w:numFmt w:val="bullet"/>
      <w:lvlText w:val="▪"/>
      <w:lvlJc w:val="left"/>
      <w:pPr>
        <w:ind w:left="180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3" w:tplc="45A0838C">
      <w:start w:val="1"/>
      <w:numFmt w:val="bullet"/>
      <w:lvlText w:val="•"/>
      <w:lvlJc w:val="left"/>
      <w:pPr>
        <w:ind w:left="252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4" w:tplc="03F8A084">
      <w:start w:val="1"/>
      <w:numFmt w:val="bullet"/>
      <w:lvlText w:val="o"/>
      <w:lvlJc w:val="left"/>
      <w:pPr>
        <w:ind w:left="324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5" w:tplc="79367E04">
      <w:start w:val="1"/>
      <w:numFmt w:val="bullet"/>
      <w:lvlText w:val="▪"/>
      <w:lvlJc w:val="left"/>
      <w:pPr>
        <w:ind w:left="396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6" w:tplc="E86E859C">
      <w:start w:val="1"/>
      <w:numFmt w:val="bullet"/>
      <w:lvlText w:val="•"/>
      <w:lvlJc w:val="left"/>
      <w:pPr>
        <w:ind w:left="468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7" w:tplc="16FAF3A8">
      <w:start w:val="1"/>
      <w:numFmt w:val="bullet"/>
      <w:lvlText w:val="o"/>
      <w:lvlJc w:val="left"/>
      <w:pPr>
        <w:ind w:left="540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lvl w:ilvl="8" w:tplc="1E32C91A">
      <w:start w:val="1"/>
      <w:numFmt w:val="bullet"/>
      <w:lvlText w:val="▪"/>
      <w:lvlJc w:val="left"/>
      <w:pPr>
        <w:ind w:left="6120"/>
      </w:pPr>
      <w:rPr>
        <w:rFonts w:ascii="Calibri" w:eastAsia="Calibri" w:hAnsi="Calibri" w:cs="Calibri"/>
        <w:b/>
        <w:bCs/>
        <w:i w:val="0"/>
        <w:strike w:val="0"/>
        <w:dstrike w:val="0"/>
        <w:color w:val="1476BC"/>
        <w:sz w:val="22"/>
        <w:szCs w:val="22"/>
        <w:u w:val="none" w:color="000000"/>
        <w:bdr w:val="none" w:sz="0" w:space="0" w:color="auto"/>
        <w:shd w:val="clear" w:color="auto" w:fill="auto"/>
        <w:vertAlign w:val="baseline"/>
      </w:rPr>
    </w:lvl>
  </w:abstractNum>
  <w:abstractNum w:abstractNumId="1" w15:restartNumberingAfterBreak="0">
    <w:nsid w:val="05106379"/>
    <w:multiLevelType w:val="hybridMultilevel"/>
    <w:tmpl w:val="8A7655C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96E91"/>
    <w:multiLevelType w:val="hybridMultilevel"/>
    <w:tmpl w:val="FF32B34C"/>
    <w:lvl w:ilvl="0" w:tplc="17B2745C">
      <w:start w:val="1"/>
      <w:numFmt w:val="decimal"/>
      <w:pStyle w:val="berschrift1"/>
      <w:lvlText w:val="%1."/>
      <w:lvlJc w:val="left"/>
      <w:pPr>
        <w:ind w:left="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1" w:tplc="6E66B262">
      <w:start w:val="1"/>
      <w:numFmt w:val="lowerLetter"/>
      <w:lvlText w:val="%2"/>
      <w:lvlJc w:val="left"/>
      <w:pPr>
        <w:ind w:left="108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2" w:tplc="06565636">
      <w:start w:val="1"/>
      <w:numFmt w:val="lowerRoman"/>
      <w:lvlText w:val="%3"/>
      <w:lvlJc w:val="left"/>
      <w:pPr>
        <w:ind w:left="180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3" w:tplc="DB76B714">
      <w:start w:val="1"/>
      <w:numFmt w:val="decimal"/>
      <w:lvlText w:val="%4"/>
      <w:lvlJc w:val="left"/>
      <w:pPr>
        <w:ind w:left="252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4" w:tplc="337687EA">
      <w:start w:val="1"/>
      <w:numFmt w:val="lowerLetter"/>
      <w:lvlText w:val="%5"/>
      <w:lvlJc w:val="left"/>
      <w:pPr>
        <w:ind w:left="324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5" w:tplc="B4829310">
      <w:start w:val="1"/>
      <w:numFmt w:val="lowerRoman"/>
      <w:lvlText w:val="%6"/>
      <w:lvlJc w:val="left"/>
      <w:pPr>
        <w:ind w:left="396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6" w:tplc="59184104">
      <w:start w:val="1"/>
      <w:numFmt w:val="decimal"/>
      <w:lvlText w:val="%7"/>
      <w:lvlJc w:val="left"/>
      <w:pPr>
        <w:ind w:left="468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7" w:tplc="930A8294">
      <w:start w:val="1"/>
      <w:numFmt w:val="lowerLetter"/>
      <w:lvlText w:val="%8"/>
      <w:lvlJc w:val="left"/>
      <w:pPr>
        <w:ind w:left="540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8" w:tplc="DCAEA85E">
      <w:start w:val="1"/>
      <w:numFmt w:val="lowerRoman"/>
      <w:lvlText w:val="%9"/>
      <w:lvlJc w:val="left"/>
      <w:pPr>
        <w:ind w:left="612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abstractNum>
  <w:abstractNum w:abstractNumId="3" w15:restartNumberingAfterBreak="0">
    <w:nsid w:val="075B5CBE"/>
    <w:multiLevelType w:val="multilevel"/>
    <w:tmpl w:val="43F21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D955FC"/>
    <w:multiLevelType w:val="hybridMultilevel"/>
    <w:tmpl w:val="EC482052"/>
    <w:lvl w:ilvl="0" w:tplc="5C70AA56">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128CF480">
      <w:start w:val="1"/>
      <w:numFmt w:val="bullet"/>
      <w:lvlText w:val="•"/>
      <w:lvlJc w:val="left"/>
      <w:pPr>
        <w:ind w:left="7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638C73A2">
      <w:start w:val="1"/>
      <w:numFmt w:val="bullet"/>
      <w:lvlText w:val="▪"/>
      <w:lvlJc w:val="left"/>
      <w:pPr>
        <w:ind w:left="147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984ABC9A">
      <w:start w:val="1"/>
      <w:numFmt w:val="bullet"/>
      <w:lvlText w:val="•"/>
      <w:lvlJc w:val="left"/>
      <w:pPr>
        <w:ind w:left="21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D89202A6">
      <w:start w:val="1"/>
      <w:numFmt w:val="bullet"/>
      <w:lvlText w:val="o"/>
      <w:lvlJc w:val="left"/>
      <w:pPr>
        <w:ind w:left="291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F9C6BDF6">
      <w:start w:val="1"/>
      <w:numFmt w:val="bullet"/>
      <w:lvlText w:val="▪"/>
      <w:lvlJc w:val="left"/>
      <w:pPr>
        <w:ind w:left="363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14DC8984">
      <w:start w:val="1"/>
      <w:numFmt w:val="bullet"/>
      <w:lvlText w:val="•"/>
      <w:lvlJc w:val="left"/>
      <w:pPr>
        <w:ind w:left="435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F6B4012E">
      <w:start w:val="1"/>
      <w:numFmt w:val="bullet"/>
      <w:lvlText w:val="o"/>
      <w:lvlJc w:val="left"/>
      <w:pPr>
        <w:ind w:left="507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ADECA4FC">
      <w:start w:val="1"/>
      <w:numFmt w:val="bullet"/>
      <w:lvlText w:val="▪"/>
      <w:lvlJc w:val="left"/>
      <w:pPr>
        <w:ind w:left="57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5" w15:restartNumberingAfterBreak="0">
    <w:nsid w:val="0F207AAC"/>
    <w:multiLevelType w:val="hybridMultilevel"/>
    <w:tmpl w:val="8A7655C6"/>
    <w:lvl w:ilvl="0" w:tplc="EEAE2EBE">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9471CD"/>
    <w:multiLevelType w:val="multilevel"/>
    <w:tmpl w:val="434E9B70"/>
    <w:lvl w:ilvl="0">
      <w:start w:val="1"/>
      <w:numFmt w:val="bullet"/>
      <w:lvlText w:val="-"/>
      <w:lvlJc w:val="left"/>
      <w:pPr>
        <w:ind w:left="1075" w:hanging="360"/>
      </w:pPr>
      <w:rPr>
        <w:u w:val="none"/>
      </w:rPr>
    </w:lvl>
    <w:lvl w:ilvl="1">
      <w:start w:val="1"/>
      <w:numFmt w:val="bullet"/>
      <w:lvlText w:val="-"/>
      <w:lvlJc w:val="left"/>
      <w:pPr>
        <w:ind w:left="2591" w:hanging="360"/>
      </w:pPr>
      <w:rPr>
        <w:u w:val="none"/>
      </w:rPr>
    </w:lvl>
    <w:lvl w:ilvl="2">
      <w:start w:val="1"/>
      <w:numFmt w:val="bullet"/>
      <w:lvlText w:val="-"/>
      <w:lvlJc w:val="left"/>
      <w:pPr>
        <w:ind w:left="3311" w:hanging="360"/>
      </w:pPr>
      <w:rPr>
        <w:u w:val="none"/>
      </w:rPr>
    </w:lvl>
    <w:lvl w:ilvl="3">
      <w:start w:val="1"/>
      <w:numFmt w:val="bullet"/>
      <w:lvlText w:val="-"/>
      <w:lvlJc w:val="left"/>
      <w:pPr>
        <w:ind w:left="4031" w:hanging="360"/>
      </w:pPr>
      <w:rPr>
        <w:u w:val="none"/>
      </w:rPr>
    </w:lvl>
    <w:lvl w:ilvl="4">
      <w:start w:val="1"/>
      <w:numFmt w:val="bullet"/>
      <w:lvlText w:val="-"/>
      <w:lvlJc w:val="left"/>
      <w:pPr>
        <w:ind w:left="4751" w:hanging="360"/>
      </w:pPr>
      <w:rPr>
        <w:u w:val="none"/>
      </w:rPr>
    </w:lvl>
    <w:lvl w:ilvl="5">
      <w:start w:val="1"/>
      <w:numFmt w:val="bullet"/>
      <w:lvlText w:val="-"/>
      <w:lvlJc w:val="left"/>
      <w:pPr>
        <w:ind w:left="5471" w:hanging="360"/>
      </w:pPr>
      <w:rPr>
        <w:u w:val="none"/>
      </w:rPr>
    </w:lvl>
    <w:lvl w:ilvl="6">
      <w:start w:val="1"/>
      <w:numFmt w:val="bullet"/>
      <w:lvlText w:val="-"/>
      <w:lvlJc w:val="left"/>
      <w:pPr>
        <w:ind w:left="6191" w:hanging="360"/>
      </w:pPr>
      <w:rPr>
        <w:u w:val="none"/>
      </w:rPr>
    </w:lvl>
    <w:lvl w:ilvl="7">
      <w:start w:val="1"/>
      <w:numFmt w:val="bullet"/>
      <w:lvlText w:val="-"/>
      <w:lvlJc w:val="left"/>
      <w:pPr>
        <w:ind w:left="6911" w:hanging="360"/>
      </w:pPr>
      <w:rPr>
        <w:u w:val="none"/>
      </w:rPr>
    </w:lvl>
    <w:lvl w:ilvl="8">
      <w:start w:val="1"/>
      <w:numFmt w:val="bullet"/>
      <w:lvlText w:val="-"/>
      <w:lvlJc w:val="left"/>
      <w:pPr>
        <w:ind w:left="7631" w:hanging="360"/>
      </w:pPr>
      <w:rPr>
        <w:u w:val="none"/>
      </w:rPr>
    </w:lvl>
  </w:abstractNum>
  <w:abstractNum w:abstractNumId="7" w15:restartNumberingAfterBreak="0">
    <w:nsid w:val="287A77F4"/>
    <w:multiLevelType w:val="hybridMultilevel"/>
    <w:tmpl w:val="2FE27D98"/>
    <w:lvl w:ilvl="0" w:tplc="B46E6744">
      <w:start w:val="1"/>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40574D"/>
    <w:multiLevelType w:val="hybridMultilevel"/>
    <w:tmpl w:val="C12AEB5E"/>
    <w:lvl w:ilvl="0" w:tplc="37FC1FB2">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4782ABDA">
      <w:start w:val="1"/>
      <w:numFmt w:val="lowerLetter"/>
      <w:lvlText w:val="%2"/>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7AA6D256">
      <w:start w:val="1"/>
      <w:numFmt w:val="lowerRoman"/>
      <w:lvlText w:val="%3"/>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ECD416FA">
      <w:start w:val="1"/>
      <w:numFmt w:val="decimal"/>
      <w:lvlText w:val="%4"/>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D27EAF62">
      <w:start w:val="1"/>
      <w:numFmt w:val="lowerLetter"/>
      <w:lvlText w:val="%5"/>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E8280CF0">
      <w:start w:val="1"/>
      <w:numFmt w:val="lowerRoman"/>
      <w:lvlText w:val="%6"/>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C7FE0206">
      <w:start w:val="1"/>
      <w:numFmt w:val="decimal"/>
      <w:lvlText w:val="%7"/>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E8B64662">
      <w:start w:val="1"/>
      <w:numFmt w:val="lowerLetter"/>
      <w:lvlText w:val="%8"/>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91FA9922">
      <w:start w:val="1"/>
      <w:numFmt w:val="lowerRoman"/>
      <w:lvlText w:val="%9"/>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9" w15:restartNumberingAfterBreak="0">
    <w:nsid w:val="338D5A29"/>
    <w:multiLevelType w:val="multilevel"/>
    <w:tmpl w:val="3BFEC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921A54"/>
    <w:multiLevelType w:val="hybridMultilevel"/>
    <w:tmpl w:val="825EBC10"/>
    <w:lvl w:ilvl="0" w:tplc="66F05FB2">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CC404CA2">
      <w:start w:val="1"/>
      <w:numFmt w:val="lowerLetter"/>
      <w:lvlText w:val="%2"/>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676C0BBA">
      <w:start w:val="1"/>
      <w:numFmt w:val="lowerRoman"/>
      <w:lvlText w:val="%3"/>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31D05A14">
      <w:start w:val="1"/>
      <w:numFmt w:val="decimal"/>
      <w:lvlText w:val="%4"/>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07DE4ADA">
      <w:start w:val="1"/>
      <w:numFmt w:val="lowerLetter"/>
      <w:lvlText w:val="%5"/>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E35856EA">
      <w:start w:val="1"/>
      <w:numFmt w:val="lowerRoman"/>
      <w:lvlText w:val="%6"/>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D8A826BA">
      <w:start w:val="1"/>
      <w:numFmt w:val="decimal"/>
      <w:lvlText w:val="%7"/>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39781304">
      <w:start w:val="1"/>
      <w:numFmt w:val="lowerLetter"/>
      <w:lvlText w:val="%8"/>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C8982C62">
      <w:start w:val="1"/>
      <w:numFmt w:val="lowerRoman"/>
      <w:lvlText w:val="%9"/>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11" w15:restartNumberingAfterBreak="0">
    <w:nsid w:val="3A5D3AC4"/>
    <w:multiLevelType w:val="hybridMultilevel"/>
    <w:tmpl w:val="7CF2D4D2"/>
    <w:lvl w:ilvl="0" w:tplc="179AB604">
      <w:start w:val="1"/>
      <w:numFmt w:val="bullet"/>
      <w:lvlText w:val="•"/>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6748A5C4">
      <w:start w:val="1"/>
      <w:numFmt w:val="bullet"/>
      <w:lvlText w:val="o"/>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CE4E309A">
      <w:start w:val="1"/>
      <w:numFmt w:val="bullet"/>
      <w:lvlText w:val="▪"/>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D50837D2">
      <w:start w:val="1"/>
      <w:numFmt w:val="bullet"/>
      <w:lvlText w:val="•"/>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CA5A7714">
      <w:start w:val="1"/>
      <w:numFmt w:val="bullet"/>
      <w:lvlText w:val="o"/>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C11E4702">
      <w:start w:val="1"/>
      <w:numFmt w:val="bullet"/>
      <w:lvlText w:val="▪"/>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71BCC1BA">
      <w:start w:val="1"/>
      <w:numFmt w:val="bullet"/>
      <w:lvlText w:val="•"/>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8F984EFA">
      <w:start w:val="1"/>
      <w:numFmt w:val="bullet"/>
      <w:lvlText w:val="o"/>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1F520164">
      <w:start w:val="1"/>
      <w:numFmt w:val="bullet"/>
      <w:lvlText w:val="▪"/>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12" w15:restartNumberingAfterBreak="0">
    <w:nsid w:val="3BD75D92"/>
    <w:multiLevelType w:val="multilevel"/>
    <w:tmpl w:val="FC76E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356DDD"/>
    <w:multiLevelType w:val="hybridMultilevel"/>
    <w:tmpl w:val="068683C8"/>
    <w:lvl w:ilvl="0" w:tplc="31201B26">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CA768912">
      <w:start w:val="1"/>
      <w:numFmt w:val="lowerLetter"/>
      <w:lvlText w:val="%2"/>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1D9C4BB4">
      <w:start w:val="1"/>
      <w:numFmt w:val="lowerRoman"/>
      <w:lvlText w:val="%3"/>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B44695D4">
      <w:start w:val="1"/>
      <w:numFmt w:val="decimal"/>
      <w:lvlText w:val="%4"/>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76C260C4">
      <w:start w:val="1"/>
      <w:numFmt w:val="lowerLetter"/>
      <w:lvlText w:val="%5"/>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C65403A8">
      <w:start w:val="1"/>
      <w:numFmt w:val="lowerRoman"/>
      <w:lvlText w:val="%6"/>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875A12F8">
      <w:start w:val="1"/>
      <w:numFmt w:val="decimal"/>
      <w:lvlText w:val="%7"/>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155E2B0C">
      <w:start w:val="1"/>
      <w:numFmt w:val="lowerLetter"/>
      <w:lvlText w:val="%8"/>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EDFC60C6">
      <w:start w:val="1"/>
      <w:numFmt w:val="lowerRoman"/>
      <w:lvlText w:val="%9"/>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14" w15:restartNumberingAfterBreak="0">
    <w:nsid w:val="408F7064"/>
    <w:multiLevelType w:val="multilevel"/>
    <w:tmpl w:val="DF848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E2354F"/>
    <w:multiLevelType w:val="multilevel"/>
    <w:tmpl w:val="AAE47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380E16"/>
    <w:multiLevelType w:val="multilevel"/>
    <w:tmpl w:val="15F6C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381EFA"/>
    <w:multiLevelType w:val="hybridMultilevel"/>
    <w:tmpl w:val="28AA8A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7A46947"/>
    <w:multiLevelType w:val="hybridMultilevel"/>
    <w:tmpl w:val="8A7655C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480695"/>
    <w:multiLevelType w:val="hybridMultilevel"/>
    <w:tmpl w:val="57E0C89C"/>
    <w:lvl w:ilvl="0" w:tplc="C56684F6">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381AAFFA">
      <w:start w:val="1"/>
      <w:numFmt w:val="lowerLetter"/>
      <w:lvlText w:val="%2"/>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C0FE7A40">
      <w:start w:val="1"/>
      <w:numFmt w:val="lowerRoman"/>
      <w:lvlText w:val="%3"/>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85F4884C">
      <w:start w:val="1"/>
      <w:numFmt w:val="decimal"/>
      <w:lvlText w:val="%4"/>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41B89688">
      <w:start w:val="1"/>
      <w:numFmt w:val="lowerLetter"/>
      <w:lvlText w:val="%5"/>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83FE19CA">
      <w:start w:val="1"/>
      <w:numFmt w:val="lowerRoman"/>
      <w:lvlText w:val="%6"/>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DB829AB8">
      <w:start w:val="1"/>
      <w:numFmt w:val="decimal"/>
      <w:lvlText w:val="%7"/>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223CBFB0">
      <w:start w:val="1"/>
      <w:numFmt w:val="lowerLetter"/>
      <w:lvlText w:val="%8"/>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4E184F80">
      <w:start w:val="1"/>
      <w:numFmt w:val="lowerRoman"/>
      <w:lvlText w:val="%9"/>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0" w15:restartNumberingAfterBreak="0">
    <w:nsid w:val="5A3D3245"/>
    <w:multiLevelType w:val="hybridMultilevel"/>
    <w:tmpl w:val="8078F792"/>
    <w:lvl w:ilvl="0" w:tplc="1DF487C4">
      <w:start w:val="1"/>
      <w:numFmt w:val="bullet"/>
      <w:lvlText w:val="•"/>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CA0E15C6">
      <w:start w:val="1"/>
      <w:numFmt w:val="bullet"/>
      <w:lvlText w:val="o"/>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D03638C6">
      <w:start w:val="1"/>
      <w:numFmt w:val="bullet"/>
      <w:lvlText w:val="▪"/>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66A8DB44">
      <w:start w:val="1"/>
      <w:numFmt w:val="bullet"/>
      <w:lvlText w:val="•"/>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53043944">
      <w:start w:val="1"/>
      <w:numFmt w:val="bullet"/>
      <w:lvlText w:val="o"/>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5FE44836">
      <w:start w:val="1"/>
      <w:numFmt w:val="bullet"/>
      <w:lvlText w:val="▪"/>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96EA2440">
      <w:start w:val="1"/>
      <w:numFmt w:val="bullet"/>
      <w:lvlText w:val="•"/>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0EE24A3E">
      <w:start w:val="1"/>
      <w:numFmt w:val="bullet"/>
      <w:lvlText w:val="o"/>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82906B06">
      <w:start w:val="1"/>
      <w:numFmt w:val="bullet"/>
      <w:lvlText w:val="▪"/>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1" w15:restartNumberingAfterBreak="0">
    <w:nsid w:val="62115F50"/>
    <w:multiLevelType w:val="multilevel"/>
    <w:tmpl w:val="93581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D05021"/>
    <w:multiLevelType w:val="hybridMultilevel"/>
    <w:tmpl w:val="90EE923C"/>
    <w:lvl w:ilvl="0" w:tplc="82FED9C0">
      <w:start w:val="1"/>
      <w:numFmt w:val="bullet"/>
      <w:lvlText w:val="•"/>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1F765E48">
      <w:start w:val="1"/>
      <w:numFmt w:val="bullet"/>
      <w:lvlText w:val="o"/>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8A126A62">
      <w:start w:val="1"/>
      <w:numFmt w:val="bullet"/>
      <w:lvlText w:val="▪"/>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A29CBACE">
      <w:start w:val="1"/>
      <w:numFmt w:val="bullet"/>
      <w:lvlText w:val="•"/>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0C08DC8E">
      <w:start w:val="1"/>
      <w:numFmt w:val="bullet"/>
      <w:lvlText w:val="o"/>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F5F8D8A6">
      <w:start w:val="1"/>
      <w:numFmt w:val="bullet"/>
      <w:lvlText w:val="▪"/>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1AB2A0A0">
      <w:start w:val="1"/>
      <w:numFmt w:val="bullet"/>
      <w:lvlText w:val="•"/>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8698F622">
      <w:start w:val="1"/>
      <w:numFmt w:val="bullet"/>
      <w:lvlText w:val="o"/>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144888FE">
      <w:start w:val="1"/>
      <w:numFmt w:val="bullet"/>
      <w:lvlText w:val="▪"/>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3" w15:restartNumberingAfterBreak="0">
    <w:nsid w:val="66DF5169"/>
    <w:multiLevelType w:val="hybridMultilevel"/>
    <w:tmpl w:val="00E6B8D0"/>
    <w:lvl w:ilvl="0" w:tplc="AD6EDAA2">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1DBCFD4E">
      <w:start w:val="1"/>
      <w:numFmt w:val="lowerLetter"/>
      <w:lvlText w:val="%2"/>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239206D4">
      <w:start w:val="1"/>
      <w:numFmt w:val="lowerRoman"/>
      <w:lvlText w:val="%3"/>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6052B05C">
      <w:start w:val="1"/>
      <w:numFmt w:val="decimal"/>
      <w:lvlText w:val="%4"/>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3FACF738">
      <w:start w:val="1"/>
      <w:numFmt w:val="lowerLetter"/>
      <w:lvlText w:val="%5"/>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9FE0C80C">
      <w:start w:val="1"/>
      <w:numFmt w:val="lowerRoman"/>
      <w:lvlText w:val="%6"/>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0DE2E4C4">
      <w:start w:val="1"/>
      <w:numFmt w:val="decimal"/>
      <w:lvlText w:val="%7"/>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C4B27336">
      <w:start w:val="1"/>
      <w:numFmt w:val="lowerLetter"/>
      <w:lvlText w:val="%8"/>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4B928A06">
      <w:start w:val="1"/>
      <w:numFmt w:val="lowerRoman"/>
      <w:lvlText w:val="%9"/>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4" w15:restartNumberingAfterBreak="0">
    <w:nsid w:val="67C2515F"/>
    <w:multiLevelType w:val="hybridMultilevel"/>
    <w:tmpl w:val="45E6D4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7E460A2"/>
    <w:multiLevelType w:val="hybridMultilevel"/>
    <w:tmpl w:val="F3861C66"/>
    <w:lvl w:ilvl="0" w:tplc="C8CE255E">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D8F84A1A">
      <w:start w:val="1"/>
      <w:numFmt w:val="bullet"/>
      <w:lvlText w:val="•"/>
      <w:lvlJc w:val="left"/>
      <w:pPr>
        <w:ind w:left="7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5B100112">
      <w:start w:val="1"/>
      <w:numFmt w:val="bullet"/>
      <w:lvlText w:val="▪"/>
      <w:lvlJc w:val="left"/>
      <w:pPr>
        <w:ind w:left="147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4678C1AA">
      <w:start w:val="1"/>
      <w:numFmt w:val="bullet"/>
      <w:lvlText w:val="•"/>
      <w:lvlJc w:val="left"/>
      <w:pPr>
        <w:ind w:left="21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248ED936">
      <w:start w:val="1"/>
      <w:numFmt w:val="bullet"/>
      <w:lvlText w:val="o"/>
      <w:lvlJc w:val="left"/>
      <w:pPr>
        <w:ind w:left="291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70E68366">
      <w:start w:val="1"/>
      <w:numFmt w:val="bullet"/>
      <w:lvlText w:val="▪"/>
      <w:lvlJc w:val="left"/>
      <w:pPr>
        <w:ind w:left="363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614274FE">
      <w:start w:val="1"/>
      <w:numFmt w:val="bullet"/>
      <w:lvlText w:val="•"/>
      <w:lvlJc w:val="left"/>
      <w:pPr>
        <w:ind w:left="435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CFC8AE20">
      <w:start w:val="1"/>
      <w:numFmt w:val="bullet"/>
      <w:lvlText w:val="o"/>
      <w:lvlJc w:val="left"/>
      <w:pPr>
        <w:ind w:left="507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B2841ADA">
      <w:start w:val="1"/>
      <w:numFmt w:val="bullet"/>
      <w:lvlText w:val="▪"/>
      <w:lvlJc w:val="left"/>
      <w:pPr>
        <w:ind w:left="57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6" w15:restartNumberingAfterBreak="0">
    <w:nsid w:val="6B9751D6"/>
    <w:multiLevelType w:val="hybridMultilevel"/>
    <w:tmpl w:val="66D0DA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4675198"/>
    <w:multiLevelType w:val="hybridMultilevel"/>
    <w:tmpl w:val="DEB2F3C0"/>
    <w:lvl w:ilvl="0" w:tplc="CF6E6EDA">
      <w:start w:val="1"/>
      <w:numFmt w:val="decimal"/>
      <w:lvlText w:val="%1."/>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2076D866">
      <w:start w:val="1"/>
      <w:numFmt w:val="lowerLetter"/>
      <w:lvlText w:val="%2"/>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3D58AC36">
      <w:start w:val="1"/>
      <w:numFmt w:val="lowerRoman"/>
      <w:lvlText w:val="%3"/>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3C0C2132">
      <w:start w:val="1"/>
      <w:numFmt w:val="decimal"/>
      <w:lvlText w:val="%4"/>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BDA262E0">
      <w:start w:val="1"/>
      <w:numFmt w:val="lowerLetter"/>
      <w:lvlText w:val="%5"/>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CA525094">
      <w:start w:val="1"/>
      <w:numFmt w:val="lowerRoman"/>
      <w:lvlText w:val="%6"/>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91D65794">
      <w:start w:val="1"/>
      <w:numFmt w:val="decimal"/>
      <w:lvlText w:val="%7"/>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199E3C2E">
      <w:start w:val="1"/>
      <w:numFmt w:val="lowerLetter"/>
      <w:lvlText w:val="%8"/>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2C6C87A6">
      <w:start w:val="1"/>
      <w:numFmt w:val="lowerRoman"/>
      <w:lvlText w:val="%9"/>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8" w15:restartNumberingAfterBreak="0">
    <w:nsid w:val="76707CDC"/>
    <w:multiLevelType w:val="hybridMultilevel"/>
    <w:tmpl w:val="9508FA62"/>
    <w:lvl w:ilvl="0" w:tplc="37761B36">
      <w:start w:val="1"/>
      <w:numFmt w:val="bullet"/>
      <w:lvlText w:val="•"/>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3F8682BC">
      <w:start w:val="1"/>
      <w:numFmt w:val="bullet"/>
      <w:lvlText w:val="o"/>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C41AC25A">
      <w:start w:val="1"/>
      <w:numFmt w:val="bullet"/>
      <w:lvlText w:val="▪"/>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97F870F4">
      <w:start w:val="1"/>
      <w:numFmt w:val="bullet"/>
      <w:lvlText w:val="•"/>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B602099C">
      <w:start w:val="1"/>
      <w:numFmt w:val="bullet"/>
      <w:lvlText w:val="o"/>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03B8EC9A">
      <w:start w:val="1"/>
      <w:numFmt w:val="bullet"/>
      <w:lvlText w:val="▪"/>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747083FE">
      <w:start w:val="1"/>
      <w:numFmt w:val="bullet"/>
      <w:lvlText w:val="•"/>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300A45EA">
      <w:start w:val="1"/>
      <w:numFmt w:val="bullet"/>
      <w:lvlText w:val="o"/>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B8925444">
      <w:start w:val="1"/>
      <w:numFmt w:val="bullet"/>
      <w:lvlText w:val="▪"/>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29" w15:restartNumberingAfterBreak="0">
    <w:nsid w:val="77D85EE1"/>
    <w:multiLevelType w:val="hybridMultilevel"/>
    <w:tmpl w:val="656A1B3E"/>
    <w:lvl w:ilvl="0" w:tplc="84DA3E0A">
      <w:start w:val="1"/>
      <w:numFmt w:val="bullet"/>
      <w:lvlText w:val="•"/>
      <w:lvlJc w:val="left"/>
      <w:pPr>
        <w:ind w:left="397"/>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1" w:tplc="8C52A90C">
      <w:start w:val="1"/>
      <w:numFmt w:val="bullet"/>
      <w:lvlText w:val="o"/>
      <w:lvlJc w:val="left"/>
      <w:pPr>
        <w:ind w:left="10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2" w:tplc="B30EBE54">
      <w:start w:val="1"/>
      <w:numFmt w:val="bullet"/>
      <w:lvlText w:val="▪"/>
      <w:lvlJc w:val="left"/>
      <w:pPr>
        <w:ind w:left="18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3" w:tplc="225C7A3C">
      <w:start w:val="1"/>
      <w:numFmt w:val="bullet"/>
      <w:lvlText w:val="•"/>
      <w:lvlJc w:val="left"/>
      <w:pPr>
        <w:ind w:left="25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4" w:tplc="CA62A420">
      <w:start w:val="1"/>
      <w:numFmt w:val="bullet"/>
      <w:lvlText w:val="o"/>
      <w:lvlJc w:val="left"/>
      <w:pPr>
        <w:ind w:left="324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5" w:tplc="05A4A9B0">
      <w:start w:val="1"/>
      <w:numFmt w:val="bullet"/>
      <w:lvlText w:val="▪"/>
      <w:lvlJc w:val="left"/>
      <w:pPr>
        <w:ind w:left="396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6" w:tplc="52ACE3B2">
      <w:start w:val="1"/>
      <w:numFmt w:val="bullet"/>
      <w:lvlText w:val="•"/>
      <w:lvlJc w:val="left"/>
      <w:pPr>
        <w:ind w:left="468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7" w:tplc="AAF4FA1C">
      <w:start w:val="1"/>
      <w:numFmt w:val="bullet"/>
      <w:lvlText w:val="o"/>
      <w:lvlJc w:val="left"/>
      <w:pPr>
        <w:ind w:left="540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lvl w:ilvl="8" w:tplc="CB96B69E">
      <w:start w:val="1"/>
      <w:numFmt w:val="bullet"/>
      <w:lvlText w:val="▪"/>
      <w:lvlJc w:val="left"/>
      <w:pPr>
        <w:ind w:left="6120"/>
      </w:pPr>
      <w:rPr>
        <w:rFonts w:ascii="Calibri" w:eastAsia="Calibri" w:hAnsi="Calibri" w:cs="Calibri"/>
        <w:b/>
        <w:bCs/>
        <w:i w:val="0"/>
        <w:strike w:val="0"/>
        <w:dstrike w:val="0"/>
        <w:color w:val="355585"/>
        <w:sz w:val="22"/>
        <w:szCs w:val="22"/>
        <w:u w:val="none" w:color="000000"/>
        <w:bdr w:val="none" w:sz="0" w:space="0" w:color="auto"/>
        <w:shd w:val="clear" w:color="auto" w:fill="auto"/>
        <w:vertAlign w:val="baseline"/>
      </w:rPr>
    </w:lvl>
  </w:abstractNum>
  <w:abstractNum w:abstractNumId="30" w15:restartNumberingAfterBreak="0">
    <w:nsid w:val="7D1B3B6F"/>
    <w:multiLevelType w:val="hybridMultilevel"/>
    <w:tmpl w:val="3956ED5A"/>
    <w:lvl w:ilvl="0" w:tplc="02BA19DA">
      <w:start w:val="1"/>
      <w:numFmt w:val="decimal"/>
      <w:lvlText w:val="%1."/>
      <w:lvlJc w:val="left"/>
      <w:pPr>
        <w:ind w:left="373" w:hanging="360"/>
      </w:pPr>
      <w:rPr>
        <w:rFonts w:hint="default"/>
      </w:rPr>
    </w:lvl>
    <w:lvl w:ilvl="1" w:tplc="20000019" w:tentative="1">
      <w:start w:val="1"/>
      <w:numFmt w:val="lowerLetter"/>
      <w:lvlText w:val="%2."/>
      <w:lvlJc w:val="left"/>
      <w:pPr>
        <w:ind w:left="1093" w:hanging="360"/>
      </w:pPr>
    </w:lvl>
    <w:lvl w:ilvl="2" w:tplc="2000001B" w:tentative="1">
      <w:start w:val="1"/>
      <w:numFmt w:val="lowerRoman"/>
      <w:lvlText w:val="%3."/>
      <w:lvlJc w:val="right"/>
      <w:pPr>
        <w:ind w:left="1813" w:hanging="180"/>
      </w:pPr>
    </w:lvl>
    <w:lvl w:ilvl="3" w:tplc="2000000F" w:tentative="1">
      <w:start w:val="1"/>
      <w:numFmt w:val="decimal"/>
      <w:lvlText w:val="%4."/>
      <w:lvlJc w:val="left"/>
      <w:pPr>
        <w:ind w:left="2533" w:hanging="360"/>
      </w:pPr>
    </w:lvl>
    <w:lvl w:ilvl="4" w:tplc="20000019" w:tentative="1">
      <w:start w:val="1"/>
      <w:numFmt w:val="lowerLetter"/>
      <w:lvlText w:val="%5."/>
      <w:lvlJc w:val="left"/>
      <w:pPr>
        <w:ind w:left="3253" w:hanging="360"/>
      </w:pPr>
    </w:lvl>
    <w:lvl w:ilvl="5" w:tplc="2000001B" w:tentative="1">
      <w:start w:val="1"/>
      <w:numFmt w:val="lowerRoman"/>
      <w:lvlText w:val="%6."/>
      <w:lvlJc w:val="right"/>
      <w:pPr>
        <w:ind w:left="3973" w:hanging="180"/>
      </w:pPr>
    </w:lvl>
    <w:lvl w:ilvl="6" w:tplc="2000000F" w:tentative="1">
      <w:start w:val="1"/>
      <w:numFmt w:val="decimal"/>
      <w:lvlText w:val="%7."/>
      <w:lvlJc w:val="left"/>
      <w:pPr>
        <w:ind w:left="4693" w:hanging="360"/>
      </w:pPr>
    </w:lvl>
    <w:lvl w:ilvl="7" w:tplc="20000019" w:tentative="1">
      <w:start w:val="1"/>
      <w:numFmt w:val="lowerLetter"/>
      <w:lvlText w:val="%8."/>
      <w:lvlJc w:val="left"/>
      <w:pPr>
        <w:ind w:left="5413" w:hanging="360"/>
      </w:pPr>
    </w:lvl>
    <w:lvl w:ilvl="8" w:tplc="2000001B" w:tentative="1">
      <w:start w:val="1"/>
      <w:numFmt w:val="lowerRoman"/>
      <w:lvlText w:val="%9."/>
      <w:lvlJc w:val="right"/>
      <w:pPr>
        <w:ind w:left="6133" w:hanging="180"/>
      </w:pPr>
    </w:lvl>
  </w:abstractNum>
  <w:num w:numId="1" w16cid:durableId="301932027">
    <w:abstractNumId w:val="0"/>
  </w:num>
  <w:num w:numId="2" w16cid:durableId="280577473">
    <w:abstractNumId w:val="28"/>
  </w:num>
  <w:num w:numId="3" w16cid:durableId="734858893">
    <w:abstractNumId w:val="19"/>
  </w:num>
  <w:num w:numId="4" w16cid:durableId="1047800041">
    <w:abstractNumId w:val="22"/>
  </w:num>
  <w:num w:numId="5" w16cid:durableId="1591743091">
    <w:abstractNumId w:val="4"/>
  </w:num>
  <w:num w:numId="6" w16cid:durableId="905721798">
    <w:abstractNumId w:val="29"/>
  </w:num>
  <w:num w:numId="7" w16cid:durableId="1417703751">
    <w:abstractNumId w:val="8"/>
  </w:num>
  <w:num w:numId="8" w16cid:durableId="77480224">
    <w:abstractNumId w:val="20"/>
  </w:num>
  <w:num w:numId="9" w16cid:durableId="1626154916">
    <w:abstractNumId w:val="25"/>
  </w:num>
  <w:num w:numId="10" w16cid:durableId="1817795190">
    <w:abstractNumId w:val="13"/>
  </w:num>
  <w:num w:numId="11" w16cid:durableId="1049037580">
    <w:abstractNumId w:val="27"/>
  </w:num>
  <w:num w:numId="12" w16cid:durableId="697391859">
    <w:abstractNumId w:val="23"/>
  </w:num>
  <w:num w:numId="13" w16cid:durableId="224264466">
    <w:abstractNumId w:val="11"/>
  </w:num>
  <w:num w:numId="14" w16cid:durableId="1802334649">
    <w:abstractNumId w:val="10"/>
  </w:num>
  <w:num w:numId="15" w16cid:durableId="1258177134">
    <w:abstractNumId w:val="2"/>
  </w:num>
  <w:num w:numId="16" w16cid:durableId="1006324595">
    <w:abstractNumId w:val="12"/>
  </w:num>
  <w:num w:numId="17" w16cid:durableId="59528017">
    <w:abstractNumId w:val="14"/>
  </w:num>
  <w:num w:numId="18" w16cid:durableId="1636715864">
    <w:abstractNumId w:val="16"/>
  </w:num>
  <w:num w:numId="19" w16cid:durableId="1734697309">
    <w:abstractNumId w:val="9"/>
  </w:num>
  <w:num w:numId="20" w16cid:durableId="2062509020">
    <w:abstractNumId w:val="15"/>
  </w:num>
  <w:num w:numId="21" w16cid:durableId="204493395">
    <w:abstractNumId w:val="3"/>
  </w:num>
  <w:num w:numId="22" w16cid:durableId="245767334">
    <w:abstractNumId w:val="21"/>
  </w:num>
  <w:num w:numId="23" w16cid:durableId="189538289">
    <w:abstractNumId w:val="6"/>
  </w:num>
  <w:num w:numId="24" w16cid:durableId="1183780447">
    <w:abstractNumId w:val="30"/>
  </w:num>
  <w:num w:numId="25" w16cid:durableId="1310208493">
    <w:abstractNumId w:val="17"/>
  </w:num>
  <w:num w:numId="26" w16cid:durableId="1699089727">
    <w:abstractNumId w:val="26"/>
  </w:num>
  <w:num w:numId="27" w16cid:durableId="2089764360">
    <w:abstractNumId w:val="7"/>
  </w:num>
  <w:num w:numId="28" w16cid:durableId="265311523">
    <w:abstractNumId w:val="24"/>
  </w:num>
  <w:num w:numId="29" w16cid:durableId="2087147134">
    <w:abstractNumId w:val="5"/>
  </w:num>
  <w:num w:numId="30" w16cid:durableId="553657695">
    <w:abstractNumId w:val="18"/>
  </w:num>
  <w:num w:numId="31" w16cid:durableId="160530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39"/>
    <w:rsid w:val="00032F3F"/>
    <w:rsid w:val="00033892"/>
    <w:rsid w:val="00053E68"/>
    <w:rsid w:val="000607ED"/>
    <w:rsid w:val="0007257A"/>
    <w:rsid w:val="00074D37"/>
    <w:rsid w:val="00094D2B"/>
    <w:rsid w:val="000A0AB5"/>
    <w:rsid w:val="000C19BE"/>
    <w:rsid w:val="000D633A"/>
    <w:rsid w:val="000D6877"/>
    <w:rsid w:val="000D7A60"/>
    <w:rsid w:val="000E1BB7"/>
    <w:rsid w:val="001132B7"/>
    <w:rsid w:val="00113C3B"/>
    <w:rsid w:val="00124D49"/>
    <w:rsid w:val="00132E65"/>
    <w:rsid w:val="00136938"/>
    <w:rsid w:val="00137C5E"/>
    <w:rsid w:val="0014309F"/>
    <w:rsid w:val="001458A9"/>
    <w:rsid w:val="00150B2B"/>
    <w:rsid w:val="0015367E"/>
    <w:rsid w:val="001748CD"/>
    <w:rsid w:val="001974F7"/>
    <w:rsid w:val="001B4C11"/>
    <w:rsid w:val="001E0B46"/>
    <w:rsid w:val="001E60CE"/>
    <w:rsid w:val="001E6529"/>
    <w:rsid w:val="001F05EE"/>
    <w:rsid w:val="001F16FB"/>
    <w:rsid w:val="00203997"/>
    <w:rsid w:val="00207ECB"/>
    <w:rsid w:val="00211BD0"/>
    <w:rsid w:val="002170F2"/>
    <w:rsid w:val="00236FA3"/>
    <w:rsid w:val="00244307"/>
    <w:rsid w:val="00263FC0"/>
    <w:rsid w:val="00267E52"/>
    <w:rsid w:val="00277F87"/>
    <w:rsid w:val="0028546E"/>
    <w:rsid w:val="002C7C1F"/>
    <w:rsid w:val="002E0251"/>
    <w:rsid w:val="002E61B7"/>
    <w:rsid w:val="002E75F5"/>
    <w:rsid w:val="003040EF"/>
    <w:rsid w:val="00305D25"/>
    <w:rsid w:val="0031001B"/>
    <w:rsid w:val="00330519"/>
    <w:rsid w:val="0034097D"/>
    <w:rsid w:val="00343D09"/>
    <w:rsid w:val="0036525E"/>
    <w:rsid w:val="00371BBB"/>
    <w:rsid w:val="003726C0"/>
    <w:rsid w:val="00380A8C"/>
    <w:rsid w:val="00380E26"/>
    <w:rsid w:val="003B4B78"/>
    <w:rsid w:val="003B6430"/>
    <w:rsid w:val="003C14BE"/>
    <w:rsid w:val="003F127F"/>
    <w:rsid w:val="003F1FCF"/>
    <w:rsid w:val="0041053E"/>
    <w:rsid w:val="004142DC"/>
    <w:rsid w:val="00441064"/>
    <w:rsid w:val="00442839"/>
    <w:rsid w:val="00455BCA"/>
    <w:rsid w:val="0046247C"/>
    <w:rsid w:val="004720ED"/>
    <w:rsid w:val="00472143"/>
    <w:rsid w:val="00496699"/>
    <w:rsid w:val="004B0807"/>
    <w:rsid w:val="004B786F"/>
    <w:rsid w:val="004D5D8A"/>
    <w:rsid w:val="004D6771"/>
    <w:rsid w:val="004E2B7C"/>
    <w:rsid w:val="004F6E5F"/>
    <w:rsid w:val="00501CA3"/>
    <w:rsid w:val="00516119"/>
    <w:rsid w:val="00526D6C"/>
    <w:rsid w:val="00535F0E"/>
    <w:rsid w:val="005414B5"/>
    <w:rsid w:val="00546BE4"/>
    <w:rsid w:val="0055137C"/>
    <w:rsid w:val="005519DE"/>
    <w:rsid w:val="005531C3"/>
    <w:rsid w:val="00555019"/>
    <w:rsid w:val="005574FF"/>
    <w:rsid w:val="00561DC4"/>
    <w:rsid w:val="00563022"/>
    <w:rsid w:val="00581EDB"/>
    <w:rsid w:val="00585E11"/>
    <w:rsid w:val="00586D23"/>
    <w:rsid w:val="00590BBB"/>
    <w:rsid w:val="00593290"/>
    <w:rsid w:val="00595B66"/>
    <w:rsid w:val="005B1F24"/>
    <w:rsid w:val="005B49C4"/>
    <w:rsid w:val="005E5251"/>
    <w:rsid w:val="005E5D02"/>
    <w:rsid w:val="005E7A1E"/>
    <w:rsid w:val="005F068D"/>
    <w:rsid w:val="006073DA"/>
    <w:rsid w:val="006160C2"/>
    <w:rsid w:val="006228E6"/>
    <w:rsid w:val="0064155C"/>
    <w:rsid w:val="00646B33"/>
    <w:rsid w:val="006674B8"/>
    <w:rsid w:val="00671DF5"/>
    <w:rsid w:val="00673329"/>
    <w:rsid w:val="006911A0"/>
    <w:rsid w:val="006B42F1"/>
    <w:rsid w:val="006B7AD5"/>
    <w:rsid w:val="006C1851"/>
    <w:rsid w:val="006D58F9"/>
    <w:rsid w:val="006E0121"/>
    <w:rsid w:val="006E3411"/>
    <w:rsid w:val="00701A1A"/>
    <w:rsid w:val="00715DE4"/>
    <w:rsid w:val="00735013"/>
    <w:rsid w:val="0073687C"/>
    <w:rsid w:val="00762DC2"/>
    <w:rsid w:val="00766287"/>
    <w:rsid w:val="00771288"/>
    <w:rsid w:val="0078357B"/>
    <w:rsid w:val="00795DD6"/>
    <w:rsid w:val="007A4430"/>
    <w:rsid w:val="007D4FA6"/>
    <w:rsid w:val="007E002C"/>
    <w:rsid w:val="00803111"/>
    <w:rsid w:val="00805FA6"/>
    <w:rsid w:val="00831B80"/>
    <w:rsid w:val="00852953"/>
    <w:rsid w:val="00862F1C"/>
    <w:rsid w:val="00867483"/>
    <w:rsid w:val="00877FBD"/>
    <w:rsid w:val="008827EC"/>
    <w:rsid w:val="008A14D3"/>
    <w:rsid w:val="008C5505"/>
    <w:rsid w:val="008E2DE8"/>
    <w:rsid w:val="009004F0"/>
    <w:rsid w:val="009070FD"/>
    <w:rsid w:val="00921603"/>
    <w:rsid w:val="00942237"/>
    <w:rsid w:val="00946D56"/>
    <w:rsid w:val="009535D9"/>
    <w:rsid w:val="00956D09"/>
    <w:rsid w:val="00961832"/>
    <w:rsid w:val="009906B5"/>
    <w:rsid w:val="009A03C1"/>
    <w:rsid w:val="009A1399"/>
    <w:rsid w:val="009C15F6"/>
    <w:rsid w:val="009C3B41"/>
    <w:rsid w:val="009D1636"/>
    <w:rsid w:val="00A06A76"/>
    <w:rsid w:val="00A17617"/>
    <w:rsid w:val="00A2541B"/>
    <w:rsid w:val="00A256F9"/>
    <w:rsid w:val="00A2779D"/>
    <w:rsid w:val="00A3223F"/>
    <w:rsid w:val="00A36BAE"/>
    <w:rsid w:val="00A5524E"/>
    <w:rsid w:val="00AB3859"/>
    <w:rsid w:val="00AC1D31"/>
    <w:rsid w:val="00AC245C"/>
    <w:rsid w:val="00AD7839"/>
    <w:rsid w:val="00AE76DB"/>
    <w:rsid w:val="00B025F7"/>
    <w:rsid w:val="00B26201"/>
    <w:rsid w:val="00B3123D"/>
    <w:rsid w:val="00B34BB0"/>
    <w:rsid w:val="00B419FE"/>
    <w:rsid w:val="00B4414C"/>
    <w:rsid w:val="00B6494E"/>
    <w:rsid w:val="00B87E0A"/>
    <w:rsid w:val="00BA1459"/>
    <w:rsid w:val="00BA3BE4"/>
    <w:rsid w:val="00BA5601"/>
    <w:rsid w:val="00BB12D8"/>
    <w:rsid w:val="00BB3CB1"/>
    <w:rsid w:val="00BE225A"/>
    <w:rsid w:val="00BE395F"/>
    <w:rsid w:val="00C154CF"/>
    <w:rsid w:val="00C32FDB"/>
    <w:rsid w:val="00C3774B"/>
    <w:rsid w:val="00C5185A"/>
    <w:rsid w:val="00C731C3"/>
    <w:rsid w:val="00C73CC9"/>
    <w:rsid w:val="00C94B9A"/>
    <w:rsid w:val="00C94DCB"/>
    <w:rsid w:val="00CA3B3D"/>
    <w:rsid w:val="00CC17A5"/>
    <w:rsid w:val="00CE4B76"/>
    <w:rsid w:val="00D01003"/>
    <w:rsid w:val="00D26E40"/>
    <w:rsid w:val="00D32042"/>
    <w:rsid w:val="00D44DFA"/>
    <w:rsid w:val="00D60BF6"/>
    <w:rsid w:val="00D945DB"/>
    <w:rsid w:val="00DB76D7"/>
    <w:rsid w:val="00DC1492"/>
    <w:rsid w:val="00DF3561"/>
    <w:rsid w:val="00DF36E4"/>
    <w:rsid w:val="00DF446C"/>
    <w:rsid w:val="00E07A2B"/>
    <w:rsid w:val="00E15E04"/>
    <w:rsid w:val="00E2366C"/>
    <w:rsid w:val="00E2693C"/>
    <w:rsid w:val="00E55285"/>
    <w:rsid w:val="00E71900"/>
    <w:rsid w:val="00E71FE4"/>
    <w:rsid w:val="00E72F01"/>
    <w:rsid w:val="00E73EAC"/>
    <w:rsid w:val="00E84E69"/>
    <w:rsid w:val="00E8731C"/>
    <w:rsid w:val="00E93264"/>
    <w:rsid w:val="00E947E2"/>
    <w:rsid w:val="00EA0B3F"/>
    <w:rsid w:val="00EB1D4A"/>
    <w:rsid w:val="00EC6521"/>
    <w:rsid w:val="00ED02BD"/>
    <w:rsid w:val="00ED45F7"/>
    <w:rsid w:val="00EE37A1"/>
    <w:rsid w:val="00F24B11"/>
    <w:rsid w:val="00F25688"/>
    <w:rsid w:val="00F47895"/>
    <w:rsid w:val="00F75CBA"/>
    <w:rsid w:val="00FA2E6E"/>
    <w:rsid w:val="00FA7BE0"/>
    <w:rsid w:val="00FB48B2"/>
    <w:rsid w:val="00FD00DC"/>
    <w:rsid w:val="00FD0A74"/>
    <w:rsid w:val="00FD1953"/>
    <w:rsid w:val="00FD305C"/>
    <w:rsid w:val="00FE4F7C"/>
    <w:rsid w:val="00FE508C"/>
    <w:rsid w:val="00FE7C3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3330"/>
  <w15:docId w15:val="{4D4D54F1-CCA2-46EE-A61E-31B7533E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3BE4"/>
    <w:pPr>
      <w:spacing w:after="159" w:line="248" w:lineRule="auto"/>
      <w:ind w:left="10" w:hanging="10"/>
      <w:jc w:val="both"/>
    </w:pPr>
    <w:rPr>
      <w:rFonts w:ascii="Calibri" w:eastAsia="Calibri" w:hAnsi="Calibri" w:cs="Calibri"/>
      <w:color w:val="221F21"/>
      <w:sz w:val="22"/>
      <w:lang w:val="en-GB"/>
    </w:rPr>
  </w:style>
  <w:style w:type="paragraph" w:styleId="berschrift1">
    <w:name w:val="heading 1"/>
    <w:next w:val="Standard"/>
    <w:link w:val="berschrift1Zchn"/>
    <w:uiPriority w:val="9"/>
    <w:qFormat/>
    <w:pPr>
      <w:keepNext/>
      <w:keepLines/>
      <w:numPr>
        <w:numId w:val="15"/>
      </w:numPr>
      <w:spacing w:after="228" w:line="248" w:lineRule="auto"/>
      <w:ind w:left="605" w:hanging="605"/>
      <w:outlineLvl w:val="0"/>
    </w:pPr>
    <w:rPr>
      <w:rFonts w:ascii="Calibri" w:eastAsia="Calibri" w:hAnsi="Calibri" w:cs="Calibri"/>
      <w:color w:val="355585"/>
      <w:sz w:val="48"/>
    </w:rPr>
  </w:style>
  <w:style w:type="paragraph" w:styleId="berschrift2">
    <w:name w:val="heading 2"/>
    <w:next w:val="Standard"/>
    <w:link w:val="berschrift2Zchn"/>
    <w:uiPriority w:val="9"/>
    <w:unhideWhenUsed/>
    <w:qFormat/>
    <w:pPr>
      <w:keepNext/>
      <w:keepLines/>
      <w:spacing w:after="133" w:line="259" w:lineRule="auto"/>
      <w:ind w:left="10" w:hanging="10"/>
      <w:outlineLvl w:val="1"/>
    </w:pPr>
    <w:rPr>
      <w:rFonts w:ascii="Calibri" w:eastAsia="Calibri" w:hAnsi="Calibri" w:cs="Calibri"/>
      <w:b/>
      <w:color w:val="E76F35"/>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b/>
      <w:color w:val="E76F35"/>
      <w:sz w:val="32"/>
    </w:rPr>
  </w:style>
  <w:style w:type="character" w:customStyle="1" w:styleId="berschrift1Zchn">
    <w:name w:val="Überschrift 1 Zchn"/>
    <w:link w:val="berschrift1"/>
    <w:uiPriority w:val="9"/>
    <w:rPr>
      <w:rFonts w:ascii="Calibri" w:eastAsia="Calibri" w:hAnsi="Calibri" w:cs="Calibri"/>
      <w:color w:val="355585"/>
      <w:sz w:val="48"/>
    </w:rPr>
  </w:style>
  <w:style w:type="paragraph" w:styleId="Verzeichnis1">
    <w:name w:val="toc 1"/>
    <w:hidden/>
    <w:pPr>
      <w:spacing w:after="21" w:line="248" w:lineRule="auto"/>
      <w:ind w:left="25" w:right="23" w:hanging="10"/>
      <w:jc w:val="both"/>
    </w:pPr>
    <w:rPr>
      <w:rFonts w:ascii="Calibri" w:eastAsia="Calibri" w:hAnsi="Calibri" w:cs="Calibri"/>
      <w:color w:val="221F21"/>
      <w:sz w:val="22"/>
    </w:rPr>
  </w:style>
  <w:style w:type="paragraph" w:styleId="Verzeichnis2">
    <w:name w:val="toc 2"/>
    <w:hidden/>
    <w:pPr>
      <w:spacing w:after="135" w:line="248" w:lineRule="auto"/>
      <w:ind w:left="485" w:right="23" w:hanging="10"/>
      <w:jc w:val="both"/>
    </w:pPr>
    <w:rPr>
      <w:rFonts w:ascii="Calibri" w:eastAsia="Calibri" w:hAnsi="Calibri" w:cs="Calibri"/>
      <w:color w:val="221F21"/>
      <w:sz w:val="22"/>
    </w:rPr>
  </w:style>
  <w:style w:type="paragraph" w:styleId="Kopfzeile">
    <w:name w:val="header"/>
    <w:basedOn w:val="Standard"/>
    <w:link w:val="KopfzeileZchn"/>
    <w:uiPriority w:val="99"/>
    <w:unhideWhenUsed/>
    <w:rsid w:val="002E025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E0251"/>
    <w:rPr>
      <w:rFonts w:ascii="Calibri" w:eastAsia="Calibri" w:hAnsi="Calibri" w:cs="Calibri"/>
      <w:color w:val="221F21"/>
      <w:sz w:val="22"/>
    </w:rPr>
  </w:style>
  <w:style w:type="table" w:styleId="Tabellenraster">
    <w:name w:val="Table Grid"/>
    <w:basedOn w:val="NormaleTabelle"/>
    <w:uiPriority w:val="39"/>
    <w:rsid w:val="00CC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73EAC"/>
    <w:rPr>
      <w:color w:val="467886" w:themeColor="hyperlink"/>
      <w:u w:val="single"/>
    </w:rPr>
  </w:style>
  <w:style w:type="character" w:styleId="NichtaufgelsteErwhnung">
    <w:name w:val="Unresolved Mention"/>
    <w:basedOn w:val="Absatz-Standardschriftart"/>
    <w:uiPriority w:val="99"/>
    <w:semiHidden/>
    <w:unhideWhenUsed/>
    <w:rsid w:val="00E73EAC"/>
    <w:rPr>
      <w:color w:val="605E5C"/>
      <w:shd w:val="clear" w:color="auto" w:fill="E1DFDD"/>
    </w:rPr>
  </w:style>
  <w:style w:type="paragraph" w:styleId="Funotentext">
    <w:name w:val="footnote text"/>
    <w:basedOn w:val="Standard"/>
    <w:link w:val="FunotentextZchn"/>
    <w:uiPriority w:val="99"/>
    <w:semiHidden/>
    <w:unhideWhenUsed/>
    <w:rsid w:val="00586D2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6D23"/>
    <w:rPr>
      <w:rFonts w:ascii="Calibri" w:eastAsia="Calibri" w:hAnsi="Calibri" w:cs="Calibri"/>
      <w:color w:val="221F21"/>
      <w:sz w:val="20"/>
      <w:szCs w:val="20"/>
    </w:rPr>
  </w:style>
  <w:style w:type="character" w:styleId="Funotenzeichen">
    <w:name w:val="footnote reference"/>
    <w:basedOn w:val="Absatz-Standardschriftart"/>
    <w:uiPriority w:val="99"/>
    <w:semiHidden/>
    <w:unhideWhenUsed/>
    <w:rsid w:val="00586D23"/>
    <w:rPr>
      <w:vertAlign w:val="superscript"/>
    </w:rPr>
  </w:style>
  <w:style w:type="paragraph" w:styleId="Fuzeile">
    <w:name w:val="footer"/>
    <w:basedOn w:val="Standard"/>
    <w:link w:val="FuzeileZchn"/>
    <w:uiPriority w:val="99"/>
    <w:unhideWhenUsed/>
    <w:rsid w:val="00113C3B"/>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FuzeileZchn">
    <w:name w:val="Fußzeile Zchn"/>
    <w:basedOn w:val="Absatz-Standardschriftart"/>
    <w:link w:val="Fuzeile"/>
    <w:uiPriority w:val="99"/>
    <w:rsid w:val="00113C3B"/>
    <w:rPr>
      <w:rFonts w:cs="Times New Roman"/>
      <w:kern w:val="0"/>
      <w:sz w:val="22"/>
      <w:szCs w:val="22"/>
      <w14:ligatures w14:val="none"/>
    </w:rPr>
  </w:style>
  <w:style w:type="paragraph" w:styleId="KeinLeerraum">
    <w:name w:val="No Spacing"/>
    <w:uiPriority w:val="1"/>
    <w:qFormat/>
    <w:rsid w:val="00921603"/>
    <w:pPr>
      <w:spacing w:after="0" w:line="240" w:lineRule="auto"/>
    </w:pPr>
    <w:rPr>
      <w:rFonts w:ascii="Helvetica" w:eastAsiaTheme="minorHAnsi" w:hAnsi="Helvetica"/>
      <w:lang w:eastAsia="en-US"/>
    </w:rPr>
  </w:style>
  <w:style w:type="paragraph" w:styleId="Listenabsatz">
    <w:name w:val="List Paragraph"/>
    <w:basedOn w:val="Standard"/>
    <w:uiPriority w:val="34"/>
    <w:qFormat/>
    <w:rsid w:val="00E8731C"/>
    <w:pPr>
      <w:ind w:left="720"/>
      <w:contextualSpacing/>
    </w:pPr>
  </w:style>
  <w:style w:type="character" w:styleId="BesuchterLink">
    <w:name w:val="FollowedHyperlink"/>
    <w:basedOn w:val="Absatz-Standardschriftart"/>
    <w:uiPriority w:val="99"/>
    <w:semiHidden/>
    <w:unhideWhenUsed/>
    <w:rsid w:val="009422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nil.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statistics-explained/index.php?title=Disability_statistics_-_poverty_and_income_inequalities" TargetMode="External"/><Relationship Id="rId13" Type="http://schemas.openxmlformats.org/officeDocument/2006/relationships/hyperlink" Target="https://enil.eu/wp-content/uploads/2025/05/Independent-Living-Survey-2024_WEB.pdf" TargetMode="External"/><Relationship Id="rId3" Type="http://schemas.openxmlformats.org/officeDocument/2006/relationships/hyperlink" Target="https://www.eurofound.europa.eu/en/publications/all/paths-towards-independent-living-and-social-inclusion-europe" TargetMode="External"/><Relationship Id="rId7" Type="http://schemas.openxmlformats.org/officeDocument/2006/relationships/hyperlink" Target="https://ec.europa.eu/eurostat/statistics-explained/index.php?title=Disability_statistics_-_poverty_and_income_inequalities" TargetMode="External"/><Relationship Id="rId12" Type="http://schemas.openxmlformats.org/officeDocument/2006/relationships/hyperlink" Target="https://enil.eu/wp-content/uploads/2023/04/IL-Survey_Summary-report_Dec2022.pdf" TargetMode="External"/><Relationship Id="rId2" Type="http://schemas.openxmlformats.org/officeDocument/2006/relationships/hyperlink" Target="https://employment-social-affairs.ec.europa.eu/policies-and-activities/social-protection-social-inclusion/social-protection/long-term-care_en" TargetMode="External"/><Relationship Id="rId1" Type="http://schemas.openxmlformats.org/officeDocument/2006/relationships/hyperlink" Target="https://www.oecd.org/en/publications/health-at-a-glance-2023_7a7afb35-en/full-report/long-term-care-spending-and-unit-costs_cc989a20.html" TargetMode="External"/><Relationship Id="rId6" Type="http://schemas.openxmlformats.org/officeDocument/2006/relationships/hyperlink" Target="https://enil.eu/advocacy-campaign-for-inclusive-employment-takes-shape/" TargetMode="External"/><Relationship Id="rId11" Type="http://schemas.openxmlformats.org/officeDocument/2006/relationships/hyperlink" Target="https://www.vista-analyse.no/no/publikasjoner/samfunnsokonomisk-analyse-av-bpa-ordningen/" TargetMode="External"/><Relationship Id="rId5" Type="http://schemas.openxmlformats.org/officeDocument/2006/relationships/hyperlink" Target="https://ec.europa.eu/eurostat/statistics-explained/index.php?title=Job_vacancy_statistics" TargetMode="External"/><Relationship Id="rId10" Type="http://schemas.openxmlformats.org/officeDocument/2006/relationships/hyperlink" Target="https://www.oecd.org/en/publications/combatting-discrimination-in-the-european-union_29c2c36a-en.html" TargetMode="External"/><Relationship Id="rId4" Type="http://schemas.openxmlformats.org/officeDocument/2006/relationships/hyperlink" Target="https://ec.europa.eu/eurostat/databrowser/view/spr_exp_type/default/table?lang=en&amp;category=spr.spr_exp" TargetMode="External"/><Relationship Id="rId9" Type="http://schemas.openxmlformats.org/officeDocument/2006/relationships/hyperlink" Target="https://www.oecd.org/content/dam/oecd/en/publications/reports/2021/09/a-crisis-on-the-horizon_f5739419/306e6993-en.pdf" TargetMode="External"/><Relationship Id="rId14" Type="http://schemas.openxmlformats.org/officeDocument/2006/relationships/hyperlink" Target="https://enil.eu/wp-content/uploads/2026/01/A-roadmap-on-Independent-Liv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DD48-D2AE-46F0-A969-139C302C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1778</Words>
  <Characters>10141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Sanden</dc:creator>
  <cp:keywords/>
  <cp:lastModifiedBy>Florian Sanden</cp:lastModifiedBy>
  <cp:revision>2</cp:revision>
  <cp:lastPrinted>2026-05-26T12:41:00Z</cp:lastPrinted>
  <dcterms:created xsi:type="dcterms:W3CDTF">2026-05-28T12:29:00Z</dcterms:created>
  <dcterms:modified xsi:type="dcterms:W3CDTF">2026-05-28T12:29:00Z</dcterms:modified>
</cp:coreProperties>
</file>