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1"/>
          <w:bCs w:val="1"/>
          <w:color w:val="e76f35"/>
          <w:sz w:val="32"/>
          <w:szCs w:val="32"/>
        </w:rPr>
      </w:pPr>
      <w:r w:rsidDel="00000000" w:rsidR="00000000" w:rsidRPr="00000000">
        <w:rPr>
          <w:rtl w:val="0"/>
        </w:rPr>
      </w:r>
    </w:p>
    <w:p w:rsidR="00000000" w:rsidDel="00000000" w:rsidP="00000000" w:rsidRDefault="00000000" w:rsidRPr="00000000" w14:paraId="00000002">
      <w:pPr>
        <w:rPr>
          <w:rFonts w:ascii="Calibri" w:cs="Calibri" w:eastAsia="Calibri" w:hAnsi="Calibri"/>
          <w:color w:val="355571"/>
          <w:sz w:val="28"/>
          <w:szCs w:val="28"/>
        </w:rPr>
      </w:pPr>
      <w:r w:rsidDel="00000000" w:rsidR="00000000" w:rsidRPr="00000000">
        <w:rPr>
          <w:rFonts w:ascii="Calibri" w:cs="Calibri" w:eastAsia="Calibri" w:hAnsi="Calibri"/>
          <w:b w:val="1"/>
          <w:bCs w:val="1"/>
          <w:color w:val="e76f35"/>
          <w:sz w:val="32"/>
          <w:szCs w:val="32"/>
          <w:rtl w:val="0"/>
        </w:rPr>
        <w:t xml:space="preserve">Amendments to the Proposal for a Council recommendation on fighting housing exclusion </w:t>
      </w:r>
      <w:r w:rsidDel="00000000" w:rsidR="00000000" w:rsidRPr="00000000">
        <w:rPr>
          <w:rtl w:val="0"/>
        </w:rPr>
      </w:r>
    </w:p>
    <w:p w:rsidR="00000000" w:rsidDel="00000000" w:rsidP="00000000" w:rsidRDefault="00000000" w:rsidRPr="00000000" w14:paraId="00000003">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We welcome the Proposal for a Council Recommendation on fighting housing exclusion and its recognition that certain groups, including persons with disabilities, are disproportionately affected by housing exclusion and homelessness. However, we believe that the Recommendation can be strengthened to better reflect the rights of persons with disabilities and the European Union's obligations under the UNCRPD. </w:t>
      </w:r>
    </w:p>
    <w:p w:rsidR="00000000" w:rsidDel="00000000" w:rsidP="00000000" w:rsidRDefault="00000000" w:rsidRPr="00000000" w14:paraId="00000004">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The European Network on Independent Living is proposing amendments to the Council Recommendation.</w:t>
      </w:r>
    </w:p>
    <w:p w:rsidR="00000000" w:rsidDel="00000000" w:rsidP="00000000" w:rsidRDefault="00000000" w:rsidRPr="00000000" w14:paraId="00000005">
      <w:pPr>
        <w:pStyle w:val="Heading3"/>
        <w:keepNext w:val="0"/>
        <w:keepLines w:val="0"/>
        <w:spacing w:before="280" w:line="276" w:lineRule="auto"/>
        <w:jc w:val="both"/>
        <w:rPr>
          <w:rFonts w:ascii="Calibri" w:cs="Calibri" w:eastAsia="Calibri" w:hAnsi="Calibri"/>
          <w:color w:val="e76f35"/>
        </w:rPr>
      </w:pPr>
      <w:bookmarkStart w:colFirst="0" w:colLast="0" w:name="_9i9zng6cwgxz" w:id="0"/>
      <w:bookmarkEnd w:id="0"/>
      <w:r w:rsidDel="00000000" w:rsidR="00000000" w:rsidRPr="00000000">
        <w:rPr>
          <w:rFonts w:ascii="Calibri" w:cs="Calibri" w:eastAsia="Calibri" w:hAnsi="Calibri"/>
          <w:b w:val="1"/>
          <w:bCs w:val="1"/>
          <w:color w:val="e76f35"/>
          <w:rtl w:val="0"/>
        </w:rPr>
        <w:t xml:space="preserve">Housing, Independent Living and Deinstitutionalisation</w:t>
      </w:r>
      <w:r w:rsidDel="00000000" w:rsidR="00000000" w:rsidRPr="00000000">
        <w:rPr>
          <w:rtl w:val="0"/>
        </w:rPr>
      </w:r>
    </w:p>
    <w:p w:rsidR="00000000" w:rsidDel="00000000" w:rsidP="00000000" w:rsidRDefault="00000000" w:rsidRPr="00000000" w14:paraId="00000006">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Europe is facing a housing crisis characterised by rising housing costs, increasing homelessness and growing barriers to accessing adequate housing. In response, the European Commission has identified housing as a key political priority and announced a </w:t>
      </w:r>
      <w:r w:rsidDel="00000000" w:rsidR="00000000" w:rsidRPr="00000000">
        <w:rPr>
          <w:rFonts w:ascii="Calibri" w:cs="Calibri" w:eastAsia="Calibri" w:hAnsi="Calibri"/>
          <w:b w:val="1"/>
          <w:bCs w:val="1"/>
          <w:color w:val="355571"/>
          <w:sz w:val="26"/>
          <w:szCs w:val="26"/>
          <w:rtl w:val="0"/>
        </w:rPr>
        <w:t xml:space="preserve">European Affordable Housing Plan.</w:t>
      </w:r>
      <w:r w:rsidDel="00000000" w:rsidR="00000000" w:rsidRPr="00000000">
        <w:rPr>
          <w:rFonts w:ascii="Calibri" w:cs="Calibri" w:eastAsia="Calibri" w:hAnsi="Calibri"/>
          <w:color w:val="355571"/>
          <w:sz w:val="26"/>
          <w:szCs w:val="26"/>
          <w:vertAlign w:val="superscript"/>
        </w:rPr>
        <w:footnoteReference w:customMarkFollows="0" w:id="0"/>
      </w:r>
      <w:r w:rsidDel="00000000" w:rsidR="00000000" w:rsidRPr="00000000">
        <w:rPr>
          <w:rFonts w:ascii="Calibri" w:cs="Calibri" w:eastAsia="Calibri" w:hAnsi="Calibri"/>
          <w:color w:val="355571"/>
          <w:sz w:val="26"/>
          <w:szCs w:val="26"/>
          <w:rtl w:val="0"/>
        </w:rPr>
        <w:t xml:space="preserve"> The proposed Council Recommendation on fighting housing exclusion forms part of these efforts and presents an important opportunity to ensure that housing policies reach those most at risk of exclusion.</w:t>
      </w:r>
    </w:p>
    <w:p w:rsidR="00000000" w:rsidDel="00000000" w:rsidP="00000000" w:rsidRDefault="00000000" w:rsidRPr="00000000" w14:paraId="00000007">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Persons with disabilities are disproportionately affected by housing exclusion and homelessness across the European Union. OECD research indicates that persons with disabilities are overrepresented among homeless populations in several countries.</w:t>
      </w:r>
      <w:r w:rsidDel="00000000" w:rsidR="00000000" w:rsidRPr="00000000">
        <w:rPr>
          <w:rFonts w:ascii="Calibri" w:cs="Calibri" w:eastAsia="Calibri" w:hAnsi="Calibri"/>
          <w:color w:val="355571"/>
          <w:sz w:val="26"/>
          <w:szCs w:val="26"/>
          <w:vertAlign w:val="superscript"/>
        </w:rPr>
        <w:footnoteReference w:customMarkFollows="0" w:id="1"/>
      </w:r>
      <w:r w:rsidDel="00000000" w:rsidR="00000000" w:rsidRPr="00000000">
        <w:rPr>
          <w:rFonts w:ascii="Calibri" w:cs="Calibri" w:eastAsia="Calibri" w:hAnsi="Calibri"/>
          <w:color w:val="355571"/>
          <w:sz w:val="26"/>
          <w:szCs w:val="26"/>
          <w:rtl w:val="0"/>
        </w:rPr>
        <w:t xml:space="preserve"> In Denmark, for example, around one quarter of homeless people reported a physical illness or disability, while nearly 60% reported a mental illness. Similar trends have been reported in other countries. According to Eurostat, 28.8% of persons with disabilities in the European Union were at risk of poverty or social exclusion in 2024, compared to 17.9% of persons without disabilities.</w:t>
      </w:r>
      <w:r w:rsidDel="00000000" w:rsidR="00000000" w:rsidRPr="00000000">
        <w:rPr>
          <w:rFonts w:ascii="Calibri" w:cs="Calibri" w:eastAsia="Calibri" w:hAnsi="Calibri"/>
          <w:color w:val="355571"/>
          <w:sz w:val="26"/>
          <w:szCs w:val="26"/>
          <w:vertAlign w:val="superscript"/>
        </w:rPr>
        <w:footnoteReference w:customMarkFollows="0" w:id="2"/>
      </w:r>
      <w:r w:rsidDel="00000000" w:rsidR="00000000" w:rsidRPr="00000000">
        <w:rPr>
          <w:rFonts w:ascii="Calibri" w:cs="Calibri" w:eastAsia="Calibri" w:hAnsi="Calibri"/>
          <w:color w:val="355571"/>
          <w:sz w:val="26"/>
          <w:szCs w:val="26"/>
          <w:rtl w:val="0"/>
        </w:rPr>
        <w:t xml:space="preserve"> Research further estimates that approximately one in four adults in EU countries reports a disability.</w:t>
      </w:r>
    </w:p>
    <w:p w:rsidR="00000000" w:rsidDel="00000000" w:rsidP="00000000" w:rsidRDefault="00000000" w:rsidRPr="00000000" w14:paraId="00000008">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Persons with disabilities face multiple and intersecting barriers in accessing housing.</w:t>
      </w:r>
      <w:r w:rsidDel="00000000" w:rsidR="00000000" w:rsidRPr="00000000">
        <w:rPr>
          <w:rFonts w:ascii="Calibri" w:cs="Calibri" w:eastAsia="Calibri" w:hAnsi="Calibri"/>
          <w:color w:val="355571"/>
          <w:sz w:val="26"/>
          <w:szCs w:val="26"/>
          <w:vertAlign w:val="superscript"/>
        </w:rPr>
        <w:footnoteReference w:customMarkFollows="0" w:id="3"/>
      </w:r>
      <w:r w:rsidDel="00000000" w:rsidR="00000000" w:rsidRPr="00000000">
        <w:rPr>
          <w:rFonts w:ascii="Calibri" w:cs="Calibri" w:eastAsia="Calibri" w:hAnsi="Calibri"/>
          <w:color w:val="355571"/>
          <w:sz w:val="26"/>
          <w:szCs w:val="26"/>
          <w:rtl w:val="0"/>
        </w:rPr>
        <w:t xml:space="preserve"> They are more likely to experience housing affordability difficulties, energy poverty and discrimination in accessing housing, while the supply of accessible housing remains insufficient to meet current and future demand.</w:t>
      </w:r>
    </w:p>
    <w:p w:rsidR="00000000" w:rsidDel="00000000" w:rsidP="00000000" w:rsidRDefault="00000000" w:rsidRPr="00000000" w14:paraId="00000009">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Access to adequate, affordable and accessible housing is a precondition for independent living and full participation in the community. Effective deinstitutionalisation requires access to affordable and accessible housing, community-based support services, personal assistance and peer support. Without such support, persons with disabilities remain at increased risk of housing exclusion, homelessness, segregation and institutionalisation.</w:t>
      </w:r>
    </w:p>
    <w:p w:rsidR="00000000" w:rsidDel="00000000" w:rsidP="00000000" w:rsidRDefault="00000000" w:rsidRPr="00000000" w14:paraId="0000000A">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These realities have important implications for public policy. Across Europe, significant public resources are being invested to reduce homelessness and housing exclusion. However, such investments will not achieve their intended outcomes if newly created housing remains inaccessible to persons with disabilities or if housing measures fail to provide the support services that many disabled people require. Housing policies that do not adequately address accessibility and support needs risk excluding a significant proportion of those most affected by housing exclusion, reducing the effectiveness of public investment and undermining efforts to combat homelessness.</w:t>
      </w:r>
    </w:p>
    <w:p w:rsidR="00000000" w:rsidDel="00000000" w:rsidP="00000000" w:rsidRDefault="00000000" w:rsidRPr="00000000" w14:paraId="0000000B">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Housing policies should therefore ensure that accessibility and universal design principles are integrated into housing construction and renovation programmes from the outset, including social and publicly funded housing. Housing and deinstitutionalisation are inseparable and should be addressed together throughout the Recommendation.</w:t>
      </w:r>
    </w:p>
    <w:p w:rsidR="00000000" w:rsidDel="00000000" w:rsidP="00000000" w:rsidRDefault="00000000" w:rsidRPr="00000000" w14:paraId="0000000C">
      <w:pPr>
        <w:spacing w:after="240" w:before="240"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276" w:lineRule="auto"/>
        <w:rPr>
          <w:rFonts w:ascii="Calibri" w:cs="Calibri" w:eastAsia="Calibri" w:hAnsi="Calibri"/>
          <w:b w:val="1"/>
          <w:bCs w:val="1"/>
          <w:color w:val="355571"/>
          <w:sz w:val="26"/>
          <w:szCs w:val="26"/>
        </w:rPr>
      </w:pPr>
      <w:bookmarkStart w:colFirst="0" w:colLast="0" w:name="_vp4wm12lmp5f" w:id="1"/>
      <w:bookmarkEnd w:id="1"/>
      <w:r w:rsidDel="00000000" w:rsidR="00000000" w:rsidRPr="00000000">
        <w:rPr>
          <w:rFonts w:ascii="Calibri" w:cs="Calibri" w:eastAsia="Calibri" w:hAnsi="Calibri"/>
          <w:b w:val="1"/>
          <w:bCs w:val="1"/>
          <w:color w:val="355571"/>
          <w:sz w:val="26"/>
          <w:szCs w:val="26"/>
          <w:rtl w:val="0"/>
        </w:rPr>
        <w:t xml:space="preserve">EU as a State Party to the </w:t>
      </w:r>
      <w:r w:rsidDel="00000000" w:rsidR="00000000" w:rsidRPr="00000000">
        <w:rPr>
          <w:rFonts w:ascii="Calibri" w:cs="Calibri" w:eastAsia="Calibri" w:hAnsi="Calibri"/>
          <w:b w:val="1"/>
          <w:bCs w:val="1"/>
          <w:color w:val="355571"/>
          <w:sz w:val="26"/>
          <w:szCs w:val="26"/>
          <w:rtl w:val="0"/>
        </w:rPr>
        <w:t xml:space="preserve">UNCRPD</w:t>
      </w:r>
      <w:r w:rsidDel="00000000" w:rsidR="00000000" w:rsidRPr="00000000">
        <w:rPr>
          <w:rtl w:val="0"/>
        </w:rPr>
      </w:r>
    </w:p>
    <w:p w:rsidR="00000000" w:rsidDel="00000000" w:rsidP="00000000" w:rsidRDefault="00000000" w:rsidRPr="00000000" w14:paraId="0000000E">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The European Union ratified the United Nations Convention on the Rights of Persons with Disabilities (UNCRPD)</w:t>
      </w:r>
      <w:r w:rsidDel="00000000" w:rsidR="00000000" w:rsidRPr="00000000">
        <w:rPr>
          <w:rFonts w:ascii="Calibri" w:cs="Calibri" w:eastAsia="Calibri" w:hAnsi="Calibri"/>
          <w:color w:val="355571"/>
          <w:sz w:val="26"/>
          <w:szCs w:val="26"/>
          <w:vertAlign w:val="superscript"/>
        </w:rPr>
        <w:footnoteReference w:customMarkFollows="0" w:id="4"/>
      </w:r>
      <w:r w:rsidDel="00000000" w:rsidR="00000000" w:rsidRPr="00000000">
        <w:rPr>
          <w:rFonts w:ascii="Calibri" w:cs="Calibri" w:eastAsia="Calibri" w:hAnsi="Calibri"/>
          <w:color w:val="355571"/>
          <w:sz w:val="26"/>
          <w:szCs w:val="26"/>
          <w:rtl w:val="0"/>
        </w:rPr>
        <w:t xml:space="preserve"> in 2010 and is therefore bound by its provisions. The Convention forms part of the legal order of the European Union and should be reflected in all relevant EU policies and legislative initiatives.</w:t>
      </w:r>
    </w:p>
    <w:p w:rsidR="00000000" w:rsidDel="00000000" w:rsidP="00000000" w:rsidRDefault="00000000" w:rsidRPr="00000000" w14:paraId="0000000F">
      <w:pPr>
        <w:spacing w:after="240" w:before="240" w:line="276" w:lineRule="auto"/>
        <w:jc w:val="both"/>
        <w:rPr>
          <w:rFonts w:ascii="Calibri" w:cs="Calibri" w:eastAsia="Calibri" w:hAnsi="Calibri"/>
          <w:b w:val="1"/>
          <w:bCs w:val="1"/>
          <w:color w:val="355571"/>
          <w:sz w:val="26"/>
          <w:szCs w:val="26"/>
        </w:rPr>
      </w:pPr>
      <w:r w:rsidDel="00000000" w:rsidR="00000000" w:rsidRPr="00000000">
        <w:rPr>
          <w:rFonts w:ascii="Calibri" w:cs="Calibri" w:eastAsia="Calibri" w:hAnsi="Calibri"/>
          <w:color w:val="355571"/>
          <w:sz w:val="26"/>
          <w:szCs w:val="26"/>
          <w:rtl w:val="0"/>
        </w:rPr>
        <w:t xml:space="preserve">Of particular relevance to this Recommendation are </w:t>
      </w:r>
      <w:r w:rsidDel="00000000" w:rsidR="00000000" w:rsidRPr="00000000">
        <w:rPr>
          <w:rFonts w:ascii="Calibri" w:cs="Calibri" w:eastAsia="Calibri" w:hAnsi="Calibri"/>
          <w:b w:val="1"/>
          <w:bCs w:val="1"/>
          <w:color w:val="355571"/>
          <w:sz w:val="26"/>
          <w:szCs w:val="26"/>
          <w:rtl w:val="0"/>
        </w:rPr>
        <w:t xml:space="preserve">Article 19 on living independently</w:t>
      </w:r>
      <w:r w:rsidDel="00000000" w:rsidR="00000000" w:rsidRPr="00000000">
        <w:rPr>
          <w:rFonts w:ascii="Calibri" w:cs="Calibri" w:eastAsia="Calibri" w:hAnsi="Calibri"/>
          <w:b w:val="1"/>
          <w:bCs w:val="1"/>
          <w:color w:val="355571"/>
          <w:sz w:val="26"/>
          <w:szCs w:val="26"/>
          <w:vertAlign w:val="superscript"/>
        </w:rPr>
        <w:footnoteReference w:customMarkFollows="0" w:id="5"/>
      </w:r>
      <w:r w:rsidDel="00000000" w:rsidR="00000000" w:rsidRPr="00000000">
        <w:rPr>
          <w:rFonts w:ascii="Calibri" w:cs="Calibri" w:eastAsia="Calibri" w:hAnsi="Calibri"/>
          <w:b w:val="1"/>
          <w:bCs w:val="1"/>
          <w:color w:val="355571"/>
          <w:sz w:val="26"/>
          <w:szCs w:val="26"/>
          <w:rtl w:val="0"/>
        </w:rPr>
        <w:t xml:space="preserve"> and being included in the community, Article 9 on accessibility and Article 28 on an adequate standard of living.</w:t>
      </w:r>
    </w:p>
    <w:p w:rsidR="00000000" w:rsidDel="00000000" w:rsidP="00000000" w:rsidRDefault="00000000" w:rsidRPr="00000000" w14:paraId="00000010">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Article 19 recognises the equal right of persons with disabilities to live in the community, with choices equal to others, and requires access to the support necessary to prevent isolation and segregation. Article 28 recognises the right of persons with disabilities to an adequate standard of living, including adequate housing, and requires Member States to ensure equal access to social protection measures, poverty reduction programmes and public housing programmes without discrimination on the basis of disability.</w:t>
      </w:r>
    </w:p>
    <w:p w:rsidR="00000000" w:rsidDel="00000000" w:rsidP="00000000" w:rsidRDefault="00000000" w:rsidRPr="00000000" w14:paraId="00000011">
      <w:pPr>
        <w:spacing w:after="240" w:before="240"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These provisions require the European Union and its Member States to promote access to affordable and accessible housing, prevent segregation and institutionalisation, and ensure that persons with disabilities can exercise their right to live independently and participate fully in the community on an equal basis with others.</w:t>
      </w:r>
    </w:p>
    <w:p w:rsidR="00000000" w:rsidDel="00000000" w:rsidP="00000000" w:rsidRDefault="00000000" w:rsidRPr="00000000" w14:paraId="00000012">
      <w:pPr>
        <w:spacing w:line="276" w:lineRule="auto"/>
        <w:jc w:val="both"/>
        <w:rPr>
          <w:rFonts w:ascii="Calibri" w:cs="Calibri" w:eastAsia="Calibri" w:hAnsi="Calibri"/>
          <w:color w:val="355571"/>
          <w:sz w:val="26"/>
          <w:szCs w:val="26"/>
        </w:rPr>
      </w:pPr>
      <w:r w:rsidDel="00000000" w:rsidR="00000000" w:rsidRPr="00000000">
        <w:rPr>
          <w:rFonts w:ascii="Calibri" w:cs="Calibri" w:eastAsia="Calibri" w:hAnsi="Calibri"/>
          <w:color w:val="355571"/>
          <w:sz w:val="26"/>
          <w:szCs w:val="26"/>
          <w:rtl w:val="0"/>
        </w:rPr>
        <w:t xml:space="preserve">To this end, we are recommending the following amendments to the Proposal for a Council recommendation on fighting housing exclusion: </w:t>
      </w:r>
    </w:p>
    <w:p w:rsidR="00000000" w:rsidDel="00000000" w:rsidP="00000000" w:rsidRDefault="00000000" w:rsidRPr="00000000" w14:paraId="00000013">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color w:val="355571"/>
          <w:sz w:val="26"/>
          <w:szCs w:val="26"/>
        </w:rPr>
      </w:pPr>
      <w:r w:rsidDel="00000000" w:rsidR="00000000" w:rsidRPr="00000000">
        <w:rPr>
          <w:rtl w:val="0"/>
        </w:rPr>
      </w:r>
    </w:p>
    <w:p w:rsidR="00000000" w:rsidDel="00000000" w:rsidP="00000000" w:rsidRDefault="00000000" w:rsidRPr="00000000" w14:paraId="00000019">
      <w:pPr>
        <w:pStyle w:val="Heading2"/>
        <w:spacing w:line="276" w:lineRule="auto"/>
        <w:jc w:val="both"/>
        <w:rPr>
          <w:rFonts w:ascii="Calibri" w:cs="Calibri" w:eastAsia="Calibri" w:hAnsi="Calibri"/>
          <w:b w:val="1"/>
          <w:bCs w:val="1"/>
          <w:color w:val="e76f35"/>
          <w:sz w:val="28"/>
          <w:szCs w:val="28"/>
        </w:rPr>
      </w:pPr>
      <w:bookmarkStart w:colFirst="0" w:colLast="0" w:name="_672u3aya3hs4" w:id="2"/>
      <w:bookmarkEnd w:id="2"/>
      <w:r w:rsidDel="00000000" w:rsidR="00000000" w:rsidRPr="00000000">
        <w:rPr>
          <w:rFonts w:ascii="Calibri" w:cs="Calibri" w:eastAsia="Calibri" w:hAnsi="Calibri"/>
          <w:b w:val="1"/>
          <w:bCs w:val="1"/>
          <w:color w:val="e76f35"/>
          <w:sz w:val="28"/>
          <w:szCs w:val="28"/>
          <w:rtl w:val="0"/>
        </w:rPr>
        <w:t xml:space="preserve">Recital 6</w:t>
      </w:r>
    </w:p>
    <w:p w:rsidR="00000000" w:rsidDel="00000000" w:rsidP="00000000" w:rsidRDefault="00000000" w:rsidRPr="00000000" w14:paraId="0000001A">
      <w:pPr>
        <w:spacing w:before="126" w:line="276" w:lineRule="auto"/>
        <w:jc w:val="both"/>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1C">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Council Recommendation (2021/C 93/01) on Roma equality, inclusion and participation. calls on Member States to ensure equal treatment of Roma people in access to, among other things, adequate desegregated housing and essential services. The LGBTIQ+ Equality Strategy 2026-2030 stresses that discrimination and a lack of social acceptance contribute to high levels of poverty and homelessness among LGBTIQ+ people. In the Communication “Enhancing the strategy for the rights of persons with disabilities until 2030”, the Commission calls for ensuring access to affordable and accessible housing for persons with disabilities.</w:t>
            </w:r>
          </w:p>
        </w:tc>
        <w:tc>
          <w:tcPr>
            <w:tcMar>
              <w:top w:w="100.0" w:type="dxa"/>
              <w:left w:w="100.0" w:type="dxa"/>
              <w:bottom w:w="100.0" w:type="dxa"/>
              <w:right w:w="100.0" w:type="dxa"/>
            </w:tcMar>
          </w:tcPr>
          <w:p w:rsidR="00000000" w:rsidDel="00000000" w:rsidP="00000000" w:rsidRDefault="00000000" w:rsidRPr="00000000" w14:paraId="0000001E">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Council Recommendation (2021/C 93/01) on Roma equality, inclusion and participation. calls on Member States to ensure equal treatment of Roma people in access to, among other things, adequate desegregated housing and essential services. The LGBTIQ+ Equality Strategy 2026-2030 stresses that discrimination and a lack of social acceptance contribute to high levels of poverty and homelessness among LGBTIQ+ people. In the Communication “Enhancing the strategy for the rights of persons with disabilities until 2030”, the Commission calls for ensuring access to affordable and accessible housing for persons with disabilities. </w:t>
            </w:r>
            <w:r w:rsidDel="00000000" w:rsidR="00000000" w:rsidRPr="00000000">
              <w:rPr>
                <w:rFonts w:ascii="Calibri" w:cs="Calibri" w:eastAsia="Calibri" w:hAnsi="Calibri"/>
                <w:b w:val="1"/>
                <w:bCs w:val="1"/>
                <w:sz w:val="26"/>
                <w:szCs w:val="26"/>
                <w:rtl w:val="0"/>
              </w:rPr>
              <w:t xml:space="preserve">In accordance with Article 19 of the UN Convention on the Rights of Persons with Disabilities, persons with disabilities have the right to live independently and be included in the community, with choices equal to others. Access to affordable and accessible housing is a precondition for the exercise of this right. </w:t>
            </w:r>
            <w:r w:rsidDel="00000000" w:rsidR="00000000" w:rsidRPr="00000000">
              <w:rPr>
                <w:rFonts w:ascii="Calibri" w:cs="Calibri" w:eastAsia="Calibri" w:hAnsi="Calibri"/>
                <w:color w:val="990000"/>
                <w:sz w:val="26"/>
                <w:szCs w:val="26"/>
                <w:rtl w:val="0"/>
              </w:rPr>
              <w:t xml:space="preserve"> </w:t>
            </w: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1F">
            <w:pPr>
              <w:spacing w:line="276" w:lineRule="auto"/>
              <w:jc w:val="both"/>
              <w:rPr>
                <w:sz w:val="24"/>
                <w:szCs w:val="24"/>
              </w:rPr>
            </w:pPr>
            <w:r w:rsidDel="00000000" w:rsidR="00000000" w:rsidRPr="00000000">
              <w:rPr>
                <w:sz w:val="24"/>
                <w:szCs w:val="24"/>
                <w:rtl w:val="0"/>
              </w:rPr>
              <w:t xml:space="preserve">Explanation: Access to affordable and accessible housing is essential for the exercise of the right to independent living and inclusion in the community under Article 19 UNCRPD. </w:t>
            </w:r>
          </w:p>
        </w:tc>
      </w:tr>
    </w:tbl>
    <w:p w:rsidR="00000000" w:rsidDel="00000000" w:rsidP="00000000" w:rsidRDefault="00000000" w:rsidRPr="00000000" w14:paraId="00000021">
      <w:pPr>
        <w:pStyle w:val="Heading2"/>
        <w:spacing w:line="276" w:lineRule="auto"/>
        <w:jc w:val="both"/>
        <w:rPr>
          <w:b w:val="1"/>
          <w:bCs w:val="1"/>
          <w:color w:val="e76f35"/>
          <w:sz w:val="26"/>
          <w:szCs w:val="26"/>
        </w:rPr>
      </w:pPr>
      <w:bookmarkStart w:colFirst="0" w:colLast="0" w:name="_fqxi0065d4cy" w:id="3"/>
      <w:bookmarkEnd w:id="3"/>
      <w:r w:rsidDel="00000000" w:rsidR="00000000" w:rsidRPr="00000000">
        <w:rPr>
          <w:rtl w:val="0"/>
        </w:rPr>
      </w:r>
    </w:p>
    <w:p w:rsidR="00000000" w:rsidDel="00000000" w:rsidP="00000000" w:rsidRDefault="00000000" w:rsidRPr="00000000" w14:paraId="00000022">
      <w:pPr>
        <w:pStyle w:val="Heading2"/>
        <w:spacing w:line="276" w:lineRule="auto"/>
        <w:jc w:val="both"/>
        <w:rPr>
          <w:b w:val="1"/>
          <w:bCs w:val="1"/>
          <w:color w:val="e76f35"/>
          <w:sz w:val="26"/>
          <w:szCs w:val="26"/>
        </w:rPr>
      </w:pPr>
      <w:bookmarkStart w:colFirst="0" w:colLast="0" w:name="_oloftyf01mye" w:id="4"/>
      <w:bookmarkEnd w:id="4"/>
      <w:r w:rsidDel="00000000" w:rsidR="00000000" w:rsidRPr="00000000">
        <w:rPr>
          <w:b w:val="1"/>
          <w:bCs w:val="1"/>
          <w:color w:val="e76f35"/>
          <w:sz w:val="26"/>
          <w:szCs w:val="26"/>
          <w:rtl w:val="0"/>
        </w:rPr>
        <w:t xml:space="preserve">Recital 25</w:t>
      </w:r>
    </w:p>
    <w:p w:rsidR="00000000" w:rsidDel="00000000" w:rsidP="00000000" w:rsidRDefault="00000000" w:rsidRPr="00000000" w14:paraId="00000023">
      <w:pPr>
        <w:spacing w:before="126" w:line="276" w:lineRule="auto"/>
        <w:jc w:val="both"/>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(25) In line with the principles of the New European Bauhaus, access to adequate, sustainable, affordable and quality housing should be considered part of a broader social and territorial ecosystem that supports inclusion, community life, labour mobility, access to education and training, health, long-term care, independent living and the social cohesion. Housing policies are more effective and create an added social value where they are combined with place-based measures, community infrastructure and services and designed to promote inclusive and sustainable neighbourhoods that meet the needs of the inhabitants.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spacing w:line="276" w:lineRule="auto"/>
              <w:jc w:val="both"/>
              <w:rPr>
                <w:rFonts w:ascii="Calibri" w:cs="Calibri" w:eastAsia="Calibri" w:hAnsi="Calibri"/>
                <w:b w:val="1"/>
                <w:bCs w:val="1"/>
                <w:sz w:val="26"/>
                <w:szCs w:val="26"/>
              </w:rPr>
            </w:pPr>
            <w:r w:rsidDel="00000000" w:rsidR="00000000" w:rsidRPr="00000000">
              <w:rPr>
                <w:rFonts w:ascii="Calibri" w:cs="Calibri" w:eastAsia="Calibri" w:hAnsi="Calibri"/>
                <w:sz w:val="26"/>
                <w:szCs w:val="26"/>
                <w:rtl w:val="0"/>
              </w:rPr>
              <w:t xml:space="preserve">(25) In line with the principles of the New European Bauhaus, </w:t>
            </w:r>
            <w:r w:rsidDel="00000000" w:rsidR="00000000" w:rsidRPr="00000000">
              <w:rPr>
                <w:rFonts w:ascii="Calibri" w:cs="Calibri" w:eastAsia="Calibri" w:hAnsi="Calibri"/>
                <w:b w:val="1"/>
                <w:bCs w:val="1"/>
                <w:sz w:val="26"/>
                <w:szCs w:val="26"/>
                <w:rtl w:val="0"/>
              </w:rPr>
              <w:t xml:space="preserve">access to adequate, sustainable, accessible, affordable and quality housing</w:t>
            </w: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sz w:val="26"/>
                <w:szCs w:val="26"/>
                <w:rtl w:val="0"/>
              </w:rPr>
              <w:t xml:space="preserve">should be considered part of a broader social and territorial ecosystem that supports inclusion, community life, labour mobility, access to education and training, health, long-term care, independent living and the social cohesion. Housing policies are more effective and create an added social value where they are combined with place-based measures, community infrastructure and services and designed to promote inclusive and sustainable neighbourhoods that meet the needs of the inhabitants.</w:t>
            </w: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28">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Explanation: Housing should support independent living and inclusion in the community. Accessible housing, combined with community-based services and support, is essential to prevent segregation and facilitate deinstitutionalisation in line with the UNCRPD. </w:t>
            </w:r>
          </w:p>
        </w:tc>
      </w:tr>
    </w:tbl>
    <w:p w:rsidR="00000000" w:rsidDel="00000000" w:rsidP="00000000" w:rsidRDefault="00000000" w:rsidRPr="00000000" w14:paraId="0000002A">
      <w:pPr>
        <w:spacing w:before="126" w:line="276" w:lineRule="auto"/>
        <w:jc w:val="both"/>
        <w:rPr>
          <w:sz w:val="24"/>
          <w:szCs w:val="24"/>
        </w:rPr>
      </w:pPr>
      <w:r w:rsidDel="00000000" w:rsidR="00000000" w:rsidRPr="00000000">
        <w:rPr>
          <w:rtl w:val="0"/>
        </w:rPr>
      </w:r>
    </w:p>
    <w:p w:rsidR="00000000" w:rsidDel="00000000" w:rsidP="00000000" w:rsidRDefault="00000000" w:rsidRPr="00000000" w14:paraId="0000002B">
      <w:pPr>
        <w:pStyle w:val="Heading2"/>
        <w:spacing w:line="276" w:lineRule="auto"/>
        <w:jc w:val="both"/>
        <w:rPr>
          <w:rFonts w:ascii="Calibri" w:cs="Calibri" w:eastAsia="Calibri" w:hAnsi="Calibri"/>
          <w:b w:val="1"/>
          <w:bCs w:val="1"/>
          <w:color w:val="e76f35"/>
          <w:sz w:val="26"/>
          <w:szCs w:val="26"/>
        </w:rPr>
      </w:pPr>
      <w:bookmarkStart w:colFirst="0" w:colLast="0" w:name="_yvrai77clntq" w:id="5"/>
      <w:bookmarkEnd w:id="5"/>
      <w:r w:rsidDel="00000000" w:rsidR="00000000" w:rsidRPr="00000000">
        <w:rPr>
          <w:rtl w:val="0"/>
        </w:rPr>
      </w:r>
    </w:p>
    <w:p w:rsidR="00000000" w:rsidDel="00000000" w:rsidP="00000000" w:rsidRDefault="00000000" w:rsidRPr="00000000" w14:paraId="0000002C">
      <w:pPr>
        <w:pStyle w:val="Heading2"/>
        <w:spacing w:line="276" w:lineRule="auto"/>
        <w:jc w:val="both"/>
        <w:rPr/>
      </w:pPr>
      <w:bookmarkStart w:colFirst="0" w:colLast="0" w:name="_h6uzuj9i4r97" w:id="6"/>
      <w:bookmarkEnd w:id="6"/>
      <w:r w:rsidDel="00000000" w:rsidR="00000000" w:rsidRPr="00000000">
        <w:rPr>
          <w:rFonts w:ascii="Calibri" w:cs="Calibri" w:eastAsia="Calibri" w:hAnsi="Calibri"/>
          <w:b w:val="1"/>
          <w:bCs w:val="1"/>
          <w:color w:val="e76f35"/>
          <w:sz w:val="26"/>
          <w:szCs w:val="26"/>
          <w:rtl w:val="0"/>
        </w:rPr>
        <w:t xml:space="preserve">Recital 28</w:t>
      </w:r>
      <w:r w:rsidDel="00000000" w:rsidR="00000000" w:rsidRPr="00000000">
        <w:rPr>
          <w:rtl w:val="0"/>
        </w:rPr>
      </w:r>
    </w:p>
    <w:p w:rsidR="00000000" w:rsidDel="00000000" w:rsidP="00000000" w:rsidRDefault="00000000" w:rsidRPr="00000000" w14:paraId="0000002D">
      <w:pPr>
        <w:spacing w:before="126" w:line="276" w:lineRule="auto"/>
        <w:jc w:val="both"/>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2F">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0">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(28) Housing exclusion and homelessness may disproportionately affect certain populations, with the scale and composition of those affected varying significantly depending on national / regional circumstances. Certain people and groups may face particular disadvantages in access to housing and a higher risk of housing exclusion or homelessness. These include young people (such as students unable to afford or access student housing; or those leaving institutional or alternative care), unemployed people, vulnerable families (including single parents) with children, victims and survivors of gender-based violence, persons with disabilities or long-term care needs, older people in precarious housing situation, people with a Roma background, people with a migrant background, people belonging to racial or ethnic minorities and LGBTIQ+ people. </w:t>
            </w:r>
          </w:p>
          <w:p w:rsidR="00000000" w:rsidDel="00000000" w:rsidP="00000000" w:rsidRDefault="00000000" w:rsidRPr="00000000" w14:paraId="00000031">
            <w:pPr>
              <w:widowControl w:val="0"/>
              <w:spacing w:line="276" w:lineRule="auto"/>
              <w:rPr>
                <w:rFonts w:ascii="Calibri" w:cs="Calibri" w:eastAsia="Calibri" w:hAnsi="Calibri"/>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(28) Housing exclusion and homelessness may disproportionately affect certain populations, with the scale and composition of those affected varying significantly depending on national / regional circumstances. Certain people and groups may face particular disadvantages in access to housing and a higher risk of housing exclusion or homelessness. These include young people (such as students unable to afford or access student housing; or those leaving institutional or alternative care), unemployed people, vulnerable families (including single parents) with children, victims and survivors of gender-based violence, </w:t>
            </w:r>
            <w:r w:rsidDel="00000000" w:rsidR="00000000" w:rsidRPr="00000000">
              <w:rPr>
                <w:rFonts w:ascii="Calibri" w:cs="Calibri" w:eastAsia="Calibri" w:hAnsi="Calibri"/>
                <w:b w:val="1"/>
                <w:bCs w:val="1"/>
                <w:sz w:val="26"/>
                <w:szCs w:val="26"/>
                <w:rtl w:val="0"/>
              </w:rPr>
              <w:t xml:space="preserve">persons with disabilities, who face additional barriers in exercising their right to live independently and be included in the community due to inaccessible housing and insufficient community-based support services</w:t>
            </w:r>
            <w:r w:rsidDel="00000000" w:rsidR="00000000" w:rsidRPr="00000000">
              <w:rPr>
                <w:rFonts w:ascii="Calibri" w:cs="Calibri" w:eastAsia="Calibri" w:hAnsi="Calibri"/>
                <w:sz w:val="26"/>
                <w:szCs w:val="26"/>
                <w:rtl w:val="0"/>
              </w:rPr>
              <w:t xml:space="preserve">,  or long-term care needs, older people in precarious housing situation, people with a Roma background, people with a migrant background, people belonging to racial or ethnic minorities and LGBTIQ+ people. </w:t>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33">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Explanation: Persons with disabilities are disproportionately affected by housing exclusion and homelessness and may face institutionalisation where accessible housing and community-based support services are unavailable. The amendment reflects the requirements of Article 19 UNCRPD and the right to live independently and be included in the community.  </w:t>
            </w:r>
          </w:p>
        </w:tc>
      </w:tr>
    </w:tbl>
    <w:p w:rsidR="00000000" w:rsidDel="00000000" w:rsidP="00000000" w:rsidRDefault="00000000" w:rsidRPr="00000000" w14:paraId="00000035">
      <w:pPr>
        <w:spacing w:before="126"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6">
      <w:pPr>
        <w:spacing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7">
      <w:pPr>
        <w:pStyle w:val="Heading2"/>
        <w:spacing w:line="276" w:lineRule="auto"/>
        <w:jc w:val="both"/>
        <w:rPr>
          <w:rFonts w:ascii="Calibri" w:cs="Calibri" w:eastAsia="Calibri" w:hAnsi="Calibri"/>
          <w:b w:val="1"/>
          <w:bCs w:val="1"/>
          <w:color w:val="e76f35"/>
          <w:sz w:val="26"/>
          <w:szCs w:val="26"/>
        </w:rPr>
      </w:pPr>
      <w:bookmarkStart w:colFirst="0" w:colLast="0" w:name="_be0o36g0ayl7" w:id="7"/>
      <w:bookmarkEnd w:id="7"/>
      <w:r w:rsidDel="00000000" w:rsidR="00000000" w:rsidRPr="00000000">
        <w:rPr>
          <w:rFonts w:ascii="Calibri" w:cs="Calibri" w:eastAsia="Calibri" w:hAnsi="Calibri"/>
          <w:b w:val="1"/>
          <w:bCs w:val="1"/>
          <w:color w:val="e76f35"/>
          <w:sz w:val="26"/>
          <w:szCs w:val="26"/>
          <w:rtl w:val="0"/>
        </w:rPr>
        <w:t xml:space="preserve">HAS ADOPTED THIS RECOMMENDATION</w:t>
      </w:r>
    </w:p>
    <w:p w:rsidR="00000000" w:rsidDel="00000000" w:rsidP="00000000" w:rsidRDefault="00000000" w:rsidRPr="00000000" w14:paraId="00000038">
      <w:pPr>
        <w:pStyle w:val="Heading2"/>
        <w:spacing w:line="276" w:lineRule="auto"/>
        <w:jc w:val="both"/>
        <w:rPr>
          <w:rFonts w:ascii="Calibri" w:cs="Calibri" w:eastAsia="Calibri" w:hAnsi="Calibri"/>
          <w:b w:val="1"/>
          <w:bCs w:val="1"/>
          <w:color w:val="e76f35"/>
          <w:sz w:val="26"/>
          <w:szCs w:val="26"/>
        </w:rPr>
      </w:pPr>
      <w:bookmarkStart w:colFirst="0" w:colLast="0" w:name="_xmzsttk0h0hc" w:id="8"/>
      <w:bookmarkEnd w:id="8"/>
      <w:r w:rsidDel="00000000" w:rsidR="00000000" w:rsidRPr="00000000">
        <w:rPr>
          <w:rFonts w:ascii="Calibri" w:cs="Calibri" w:eastAsia="Calibri" w:hAnsi="Calibri"/>
          <w:b w:val="1"/>
          <w:bCs w:val="1"/>
          <w:color w:val="e76f35"/>
          <w:sz w:val="26"/>
          <w:szCs w:val="26"/>
          <w:rtl w:val="0"/>
        </w:rPr>
        <w:t xml:space="preserve">SUBJECT MATTER</w:t>
      </w:r>
    </w:p>
    <w:p w:rsidR="00000000" w:rsidDel="00000000" w:rsidP="00000000" w:rsidRDefault="00000000" w:rsidRPr="00000000" w14:paraId="00000039">
      <w:pPr>
        <w:pStyle w:val="Heading2"/>
        <w:spacing w:line="276" w:lineRule="auto"/>
        <w:jc w:val="both"/>
        <w:rPr>
          <w:rFonts w:ascii="Calibri" w:cs="Calibri" w:eastAsia="Calibri" w:hAnsi="Calibri"/>
          <w:b w:val="1"/>
          <w:bCs w:val="1"/>
          <w:color w:val="e76f35"/>
          <w:sz w:val="26"/>
          <w:szCs w:val="26"/>
        </w:rPr>
      </w:pPr>
      <w:bookmarkStart w:colFirst="0" w:colLast="0" w:name="_be0o36g0ayl7" w:id="7"/>
      <w:bookmarkEnd w:id="7"/>
      <w:r w:rsidDel="00000000" w:rsidR="00000000" w:rsidRPr="00000000">
        <w:rPr>
          <w:rFonts w:ascii="Calibri" w:cs="Calibri" w:eastAsia="Calibri" w:hAnsi="Calibri"/>
          <w:b w:val="1"/>
          <w:bCs w:val="1"/>
          <w:color w:val="e76f35"/>
          <w:sz w:val="26"/>
          <w:szCs w:val="26"/>
          <w:rtl w:val="0"/>
        </w:rPr>
        <w:t xml:space="preserve">Paragraph 4, a) </w:t>
      </w:r>
    </w:p>
    <w:p w:rsidR="00000000" w:rsidDel="00000000" w:rsidP="00000000" w:rsidRDefault="00000000" w:rsidRPr="00000000" w14:paraId="0000003A">
      <w:pPr>
        <w:spacing w:before="126" w:line="276" w:lineRule="auto"/>
        <w:jc w:val="both"/>
        <w:rPr>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 </w:t>
            </w:r>
          </w:p>
        </w:tc>
        <w:tc>
          <w:tcPr>
            <w:tcMar>
              <w:top w:w="100.0" w:type="dxa"/>
              <w:left w:w="100.0" w:type="dxa"/>
              <w:bottom w:w="100.0" w:type="dxa"/>
              <w:right w:w="100.0" w:type="dxa"/>
            </w:tcMar>
          </w:tcPr>
          <w:p w:rsidR="00000000" w:rsidDel="00000000" w:rsidP="00000000" w:rsidRDefault="00000000" w:rsidRPr="00000000" w14:paraId="0000003C">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Member States are recommended to:</w:t>
            </w:r>
          </w:p>
          <w:p w:rsidR="00000000" w:rsidDel="00000000" w:rsidP="00000000" w:rsidRDefault="00000000" w:rsidRPr="00000000" w14:paraId="0000003E">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strengthen data collection on hard-to-reach groups, including homeless</w:t>
            </w:r>
          </w:p>
          <w:p w:rsidR="00000000" w:rsidDel="00000000" w:rsidP="00000000" w:rsidRDefault="00000000" w:rsidRPr="00000000" w14:paraId="0000003F">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persons, and, without excessive administrative burden, develop regular,</w:t>
            </w:r>
          </w:p>
          <w:p w:rsidR="00000000" w:rsidDel="00000000" w:rsidP="00000000" w:rsidRDefault="00000000" w:rsidRPr="00000000" w14:paraId="00000040">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comprehensive, comparable and disaggregated statistics on housing exclusion</w:t>
            </w:r>
          </w:p>
          <w:p w:rsidR="00000000" w:rsidDel="00000000" w:rsidP="00000000" w:rsidRDefault="00000000" w:rsidRPr="00000000" w14:paraId="00000041">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homelessness at national and local levels;</w:t>
            </w:r>
          </w:p>
          <w:p w:rsidR="00000000" w:rsidDel="00000000" w:rsidP="00000000" w:rsidRDefault="00000000" w:rsidRPr="00000000" w14:paraId="00000042">
            <w:pPr>
              <w:spacing w:line="276" w:lineRule="auto"/>
              <w:jc w:val="both"/>
              <w:rPr>
                <w:rFonts w:ascii="Calibri" w:cs="Calibri" w:eastAsia="Calibri" w:hAnsi="Calibri"/>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Member States are recommended to:</w:t>
            </w:r>
          </w:p>
          <w:p w:rsidR="00000000" w:rsidDel="00000000" w:rsidP="00000000" w:rsidRDefault="00000000" w:rsidRPr="00000000" w14:paraId="00000044">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strengthen data collection on hard-to-reach groups, including homeless</w:t>
            </w:r>
          </w:p>
          <w:p w:rsidR="00000000" w:rsidDel="00000000" w:rsidP="00000000" w:rsidRDefault="00000000" w:rsidRPr="00000000" w14:paraId="00000045">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persons, and, without excessive administrative burden, develop regular,</w:t>
            </w:r>
          </w:p>
          <w:p w:rsidR="00000000" w:rsidDel="00000000" w:rsidP="00000000" w:rsidRDefault="00000000" w:rsidRPr="00000000" w14:paraId="00000046">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comprehensive, comparable and disaggregated statistics on housing exclusion and homelessness at national and local levels;</w:t>
            </w:r>
          </w:p>
          <w:p w:rsidR="00000000" w:rsidDel="00000000" w:rsidP="00000000" w:rsidRDefault="00000000" w:rsidRPr="00000000" w14:paraId="00000047">
            <w:pPr>
              <w:spacing w:line="276"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Data should, in accordance with data protection rules, be disaggregated by disability, age, gender, ethnicity and other relevant characteristics. </w:t>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48">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Explanation: </w:t>
            </w:r>
            <w:r w:rsidDel="00000000" w:rsidR="00000000" w:rsidRPr="00000000">
              <w:rPr>
                <w:rFonts w:ascii="Calibri" w:cs="Calibri" w:eastAsia="Calibri" w:hAnsi="Calibri"/>
                <w:sz w:val="26"/>
                <w:szCs w:val="26"/>
                <w:rtl w:val="0"/>
              </w:rPr>
              <w:t xml:space="preserve">Disability-disaggregated data are essential to understand the extent of housing exclusion experienced by persons with disabilities and to prevent them from becoming statistically invisible in housing and homelessness policies. </w:t>
            </w:r>
          </w:p>
          <w:p w:rsidR="00000000" w:rsidDel="00000000" w:rsidP="00000000" w:rsidRDefault="00000000" w:rsidRPr="00000000" w14:paraId="00000049">
            <w:pPr>
              <w:spacing w:line="276" w:lineRule="auto"/>
              <w:jc w:val="both"/>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4B">
      <w:pPr>
        <w:spacing w:before="126" w:line="276" w:lineRule="auto"/>
        <w:jc w:val="both"/>
        <w:rPr>
          <w:sz w:val="24"/>
          <w:szCs w:val="24"/>
        </w:rPr>
      </w:pPr>
      <w:r w:rsidDel="00000000" w:rsidR="00000000" w:rsidRPr="00000000">
        <w:rPr>
          <w:rtl w:val="0"/>
        </w:rPr>
      </w:r>
    </w:p>
    <w:p w:rsidR="00000000" w:rsidDel="00000000" w:rsidP="00000000" w:rsidRDefault="00000000" w:rsidRPr="00000000" w14:paraId="0000004C">
      <w:pPr>
        <w:pStyle w:val="Heading2"/>
        <w:spacing w:line="276" w:lineRule="auto"/>
        <w:jc w:val="both"/>
        <w:rPr>
          <w:rFonts w:ascii="Calibri" w:cs="Calibri" w:eastAsia="Calibri" w:hAnsi="Calibri"/>
          <w:b w:val="1"/>
          <w:bCs w:val="1"/>
          <w:color w:val="e76f35"/>
          <w:sz w:val="26"/>
          <w:szCs w:val="26"/>
        </w:rPr>
      </w:pPr>
      <w:bookmarkStart w:colFirst="0" w:colLast="0" w:name="_3htd69fgprvf" w:id="9"/>
      <w:bookmarkEnd w:id="9"/>
      <w:r w:rsidDel="00000000" w:rsidR="00000000" w:rsidRPr="00000000">
        <w:rPr>
          <w:rFonts w:ascii="Calibri" w:cs="Calibri" w:eastAsia="Calibri" w:hAnsi="Calibri"/>
          <w:b w:val="1"/>
          <w:bCs w:val="1"/>
          <w:color w:val="e76f35"/>
          <w:sz w:val="26"/>
          <w:szCs w:val="26"/>
          <w:rtl w:val="0"/>
        </w:rPr>
        <w:t xml:space="preserve">PREVENTION OF HOUSING EXCLUSION</w:t>
      </w:r>
    </w:p>
    <w:p w:rsidR="00000000" w:rsidDel="00000000" w:rsidP="00000000" w:rsidRDefault="00000000" w:rsidRPr="00000000" w14:paraId="0000004D">
      <w:pPr>
        <w:pStyle w:val="Heading2"/>
        <w:spacing w:line="276" w:lineRule="auto"/>
        <w:jc w:val="both"/>
        <w:rPr>
          <w:rFonts w:ascii="Calibri" w:cs="Calibri" w:eastAsia="Calibri" w:hAnsi="Calibri"/>
          <w:b w:val="1"/>
          <w:bCs w:val="1"/>
          <w:color w:val="e76f35"/>
          <w:sz w:val="26"/>
          <w:szCs w:val="26"/>
        </w:rPr>
      </w:pPr>
      <w:bookmarkStart w:colFirst="0" w:colLast="0" w:name="_tqksgwhao7f" w:id="10"/>
      <w:bookmarkEnd w:id="10"/>
      <w:r w:rsidDel="00000000" w:rsidR="00000000" w:rsidRPr="00000000">
        <w:rPr>
          <w:rFonts w:ascii="Calibri" w:cs="Calibri" w:eastAsia="Calibri" w:hAnsi="Calibri"/>
          <w:b w:val="1"/>
          <w:bCs w:val="1"/>
          <w:color w:val="e76f35"/>
          <w:sz w:val="26"/>
          <w:szCs w:val="26"/>
          <w:rtl w:val="0"/>
        </w:rPr>
        <w:t xml:space="preserve">Paragraph 5, c)</w:t>
      </w:r>
    </w:p>
    <w:p w:rsidR="00000000" w:rsidDel="00000000" w:rsidP="00000000" w:rsidRDefault="00000000" w:rsidRPr="00000000" w14:paraId="0000004E">
      <w:pPr>
        <w:spacing w:before="126" w:line="276" w:lineRule="auto"/>
        <w:jc w:val="both"/>
        <w:rPr>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50">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1">
            <w:pPr>
              <w:widowControl w:val="0"/>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Member States are recommended to:</w:t>
            </w:r>
          </w:p>
          <w:p w:rsidR="00000000" w:rsidDel="00000000" w:rsidP="00000000" w:rsidRDefault="00000000" w:rsidRPr="00000000" w14:paraId="00000052">
            <w:pPr>
              <w:widowControl w:val="0"/>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regularly assess the adequacy of income support, including housing-related allowances, minimum income and child benefits, in relation to housing costs, with adjustment mechanisms responsive to cost trends. This assessment should also serve as evidence to avoid the creation of poverty traps, whereby social support creates labour disincentives;</w:t>
            </w:r>
          </w:p>
          <w:p w:rsidR="00000000" w:rsidDel="00000000" w:rsidP="00000000" w:rsidRDefault="00000000" w:rsidRPr="00000000" w14:paraId="00000053">
            <w:pPr>
              <w:widowControl w:val="0"/>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widowControl w:val="0"/>
              <w:spacing w:line="276" w:lineRule="auto"/>
              <w:jc w:val="both"/>
              <w:rPr>
                <w:rFonts w:ascii="Calibri" w:cs="Calibri" w:eastAsia="Calibri" w:hAnsi="Calibri"/>
                <w:sz w:val="28"/>
                <w:szCs w:val="2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5">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Member States are recommended to:</w:t>
            </w:r>
          </w:p>
          <w:p w:rsidR="00000000" w:rsidDel="00000000" w:rsidP="00000000" w:rsidRDefault="00000000" w:rsidRPr="00000000" w14:paraId="00000056">
            <w:pPr>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c)</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sz w:val="28"/>
                <w:szCs w:val="28"/>
                <w:rtl w:val="0"/>
              </w:rPr>
              <w:t xml:space="preserve">regularly assess the adequacy of income support, including housing-related allowances, minimum income and child benefits, in relation to housing costs, with adjustment mechanisms responsive to cost trends. This assessment should also serve as evidence to avoid the creation of poverty traps, whereby social support creates labour disincentives; </w:t>
            </w:r>
            <w:r w:rsidDel="00000000" w:rsidR="00000000" w:rsidRPr="00000000">
              <w:rPr>
                <w:rFonts w:ascii="Calibri" w:cs="Calibri" w:eastAsia="Calibri" w:hAnsi="Calibri"/>
                <w:b w:val="1"/>
                <w:bCs w:val="1"/>
                <w:sz w:val="28"/>
                <w:szCs w:val="28"/>
                <w:rtl w:val="0"/>
              </w:rPr>
              <w:t xml:space="preserve">provide timely, personalised support for people leaving institutions, including hospitals, psychiatric facilities, residential care settings and other segregated institutions, ensuring access to affordable, accessible housing and community-based support services that prevent homelessness and re-institutionalisation. </w:t>
            </w:r>
          </w:p>
          <w:p w:rsidR="00000000" w:rsidDel="00000000" w:rsidP="00000000" w:rsidRDefault="00000000" w:rsidRPr="00000000" w14:paraId="00000057">
            <w:pPr>
              <w:widowControl w:val="0"/>
              <w:spacing w:line="276" w:lineRule="auto"/>
              <w:jc w:val="both"/>
              <w:rPr>
                <w:rFonts w:ascii="Calibri" w:cs="Calibri" w:eastAsia="Calibri" w:hAnsi="Calibri"/>
                <w:sz w:val="28"/>
                <w:szCs w:val="28"/>
              </w:rPr>
            </w:pP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58">
            <w:pPr>
              <w:widowControl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Explanation: Effective deinstitutionalisation requires more than leaving an institution. Disabled people must have access to affordable and accessible housing, personal assistance and other community-based support services to enable independent living and prevent homelessness, social exclusion and re-institutionalisation. </w:t>
            </w:r>
          </w:p>
        </w:tc>
      </w:tr>
    </w:tbl>
    <w:p w:rsidR="00000000" w:rsidDel="00000000" w:rsidP="00000000" w:rsidRDefault="00000000" w:rsidRPr="00000000" w14:paraId="0000005A">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B">
      <w:pPr>
        <w:pStyle w:val="Heading2"/>
        <w:spacing w:line="276" w:lineRule="auto"/>
        <w:jc w:val="both"/>
        <w:rPr>
          <w:rFonts w:ascii="Calibri" w:cs="Calibri" w:eastAsia="Calibri" w:hAnsi="Calibri"/>
          <w:b w:val="1"/>
          <w:bCs w:val="1"/>
          <w:color w:val="e76f35"/>
          <w:sz w:val="26"/>
          <w:szCs w:val="26"/>
        </w:rPr>
      </w:pPr>
      <w:bookmarkStart w:colFirst="0" w:colLast="0" w:name="_qh3ahwq4nqio" w:id="11"/>
      <w:bookmarkEnd w:id="11"/>
      <w:r w:rsidDel="00000000" w:rsidR="00000000" w:rsidRPr="00000000">
        <w:rPr>
          <w:rFonts w:ascii="Calibri" w:cs="Calibri" w:eastAsia="Calibri" w:hAnsi="Calibri"/>
          <w:b w:val="1"/>
          <w:bCs w:val="1"/>
          <w:color w:val="e76f35"/>
          <w:sz w:val="26"/>
          <w:szCs w:val="26"/>
          <w:rtl w:val="0"/>
        </w:rPr>
        <w:t xml:space="preserve">Paragraph 5, k) - NEW </w:t>
      </w:r>
    </w:p>
    <w:p w:rsidR="00000000" w:rsidDel="00000000" w:rsidP="00000000" w:rsidRDefault="00000000" w:rsidRPr="00000000" w14:paraId="0000005C">
      <w:pPr>
        <w:spacing w:before="126" w:line="276" w:lineRule="auto"/>
        <w:jc w:val="both"/>
        <w:rPr>
          <w:sz w:val="24"/>
          <w:szCs w:val="24"/>
        </w:rPr>
      </w:pPr>
      <w:r w:rsidDel="00000000" w:rsidR="00000000" w:rsidRPr="00000000">
        <w:rPr>
          <w:rtl w:val="0"/>
        </w:rPr>
      </w:r>
    </w:p>
    <w:tbl>
      <w:tblPr>
        <w:tblStyle w:val="Table6"/>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560"/>
        <w:tblGridChange w:id="0">
          <w:tblGrid>
            <w:gridCol w:w="4680"/>
            <w:gridCol w:w="45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 </w:t>
            </w:r>
          </w:p>
        </w:tc>
        <w:tc>
          <w:tcPr>
            <w:tcMar>
              <w:top w:w="100.0" w:type="dxa"/>
              <w:left w:w="100.0" w:type="dxa"/>
              <w:bottom w:w="100.0" w:type="dxa"/>
              <w:right w:w="100.0" w:type="dxa"/>
            </w:tcMar>
          </w:tcPr>
          <w:p w:rsidR="00000000" w:rsidDel="00000000" w:rsidP="00000000" w:rsidRDefault="00000000" w:rsidRPr="00000000" w14:paraId="0000005E">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F">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Member states are recommended to: </w:t>
            </w:r>
          </w:p>
        </w:tc>
        <w:tc>
          <w:tcPr>
            <w:tcMar>
              <w:top w:w="100.0" w:type="dxa"/>
              <w:left w:w="100.0" w:type="dxa"/>
              <w:bottom w:w="100.0" w:type="dxa"/>
              <w:right w:w="100.0" w:type="dxa"/>
            </w:tcMar>
          </w:tcPr>
          <w:p w:rsidR="00000000" w:rsidDel="00000000" w:rsidP="00000000" w:rsidRDefault="00000000" w:rsidRPr="00000000" w14:paraId="00000060">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Member states are recommended to:</w:t>
            </w:r>
          </w:p>
          <w:p w:rsidR="00000000" w:rsidDel="00000000" w:rsidP="00000000" w:rsidRDefault="00000000" w:rsidRPr="00000000" w14:paraId="00000061">
            <w:pPr>
              <w:spacing w:line="276" w:lineRule="auto"/>
              <w:ind w:left="0" w:firstLine="0"/>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k)</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Ensure the availability of affordable and accessible housing designed in accordance with universal design principles for persons with disabilities or long-term care needs, including accessible emergency preparedness and evacuation procedures. Member States should ensure that newly constructed and substantially renovated housing, including social and publicly funded housing, complies with accessibility requirements and universal design principles.  </w:t>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62">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Explanation: The shortage of accessible housing remains one of the main barriers to independent living and inclusion in the community. Accessibility should be incorporated from the design stage through universal design principles rather than addressed through costly individual adaptations at a later stage. This amendment supports the implementation of Articles 9 and 28 UNCRPD concerning accessibility and access to adequate housing. </w:t>
            </w:r>
          </w:p>
        </w:tc>
      </w:tr>
    </w:tbl>
    <w:p w:rsidR="00000000" w:rsidDel="00000000" w:rsidP="00000000" w:rsidRDefault="00000000" w:rsidRPr="00000000" w14:paraId="00000064">
      <w:pPr>
        <w:spacing w:before="126"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5">
      <w:pPr>
        <w:spacing w:before="126"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6">
      <w:pPr>
        <w:spacing w:before="126" w:line="276" w:lineRule="auto"/>
        <w:jc w:val="both"/>
        <w:rPr>
          <w:rFonts w:ascii="Calibri" w:cs="Calibri" w:eastAsia="Calibri" w:hAnsi="Calibri"/>
          <w:b w:val="1"/>
          <w:bCs w:val="1"/>
          <w:color w:val="e76f35"/>
          <w:sz w:val="26"/>
          <w:szCs w:val="26"/>
        </w:rPr>
      </w:pPr>
      <w:r w:rsidDel="00000000" w:rsidR="00000000" w:rsidRPr="00000000">
        <w:rPr>
          <w:rFonts w:ascii="Calibri" w:cs="Calibri" w:eastAsia="Calibri" w:hAnsi="Calibri"/>
          <w:b w:val="1"/>
          <w:bCs w:val="1"/>
          <w:color w:val="e76f35"/>
          <w:sz w:val="26"/>
          <w:szCs w:val="26"/>
          <w:rtl w:val="0"/>
        </w:rPr>
        <w:t xml:space="preserve">SUPPORT TO PEOPLE EXPERIENCING HOMELESSNESS</w:t>
      </w:r>
    </w:p>
    <w:p w:rsidR="00000000" w:rsidDel="00000000" w:rsidP="00000000" w:rsidRDefault="00000000" w:rsidRPr="00000000" w14:paraId="00000067">
      <w:pPr>
        <w:pStyle w:val="Heading2"/>
        <w:spacing w:line="276" w:lineRule="auto"/>
        <w:jc w:val="both"/>
        <w:rPr>
          <w:rFonts w:ascii="Calibri" w:cs="Calibri" w:eastAsia="Calibri" w:hAnsi="Calibri"/>
          <w:b w:val="1"/>
          <w:bCs w:val="1"/>
          <w:color w:val="e76f35"/>
          <w:sz w:val="26"/>
          <w:szCs w:val="26"/>
        </w:rPr>
      </w:pPr>
      <w:bookmarkStart w:colFirst="0" w:colLast="0" w:name="_s36b0tqo7ca3" w:id="12"/>
      <w:bookmarkEnd w:id="12"/>
      <w:r w:rsidDel="00000000" w:rsidR="00000000" w:rsidRPr="00000000">
        <w:rPr>
          <w:rFonts w:ascii="Calibri" w:cs="Calibri" w:eastAsia="Calibri" w:hAnsi="Calibri"/>
          <w:b w:val="1"/>
          <w:bCs w:val="1"/>
          <w:color w:val="e76f35"/>
          <w:sz w:val="26"/>
          <w:szCs w:val="26"/>
          <w:rtl w:val="0"/>
        </w:rPr>
        <w:t xml:space="preserve">Paragraph 6, h)</w:t>
      </w:r>
    </w:p>
    <w:p w:rsidR="00000000" w:rsidDel="00000000" w:rsidP="00000000" w:rsidRDefault="00000000" w:rsidRPr="00000000" w14:paraId="00000068">
      <w:pPr>
        <w:spacing w:before="126" w:line="276" w:lineRule="auto"/>
        <w:jc w:val="both"/>
        <w:rPr>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349"/>
        <w:tblGridChange w:id="0">
          <w:tblGrid>
            <w:gridCol w:w="4680"/>
            <w:gridCol w:w="434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6A">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B">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To reduce the length of time that people experience homelessness or rely on emergency or temporary accommodation, Member States are recommended to provide a person-centred, integrated and accessible support through:</w:t>
            </w:r>
          </w:p>
          <w:p w:rsidR="00000000" w:rsidDel="00000000" w:rsidP="00000000" w:rsidRDefault="00000000" w:rsidRPr="00000000" w14:paraId="0000006C">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 ensuring that emergency and temporary accommodation, including gender-segregated accommodation, is available, safe, accessible and sufficient to meet the needs of all people experiencing homelessness, including for victims of domestic and sexual violence, while supporting their transition to stable housing;</w:t>
            </w:r>
          </w:p>
          <w:p w:rsidR="00000000" w:rsidDel="00000000" w:rsidP="00000000" w:rsidRDefault="00000000" w:rsidRPr="00000000" w14:paraId="0000006D">
            <w:pPr>
              <w:widowControl w:val="0"/>
              <w:spacing w:line="276"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E">
            <w:pPr>
              <w:widowControl w:val="0"/>
              <w:spacing w:line="276" w:lineRule="auto"/>
              <w:rPr>
                <w:rFonts w:ascii="Calibri" w:cs="Calibri" w:eastAsia="Calibri" w:hAnsi="Calibri"/>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F">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To reduce the length of time that people experience homelessness or rely on emergency or temporary accommodation, Member States are recommended to provide a person-centred, integrated and accessible support through:</w:t>
            </w:r>
          </w:p>
          <w:p w:rsidR="00000000" w:rsidDel="00000000" w:rsidP="00000000" w:rsidRDefault="00000000" w:rsidRPr="00000000" w14:paraId="00000070">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w:t>
            </w:r>
            <w:r w:rsidDel="00000000" w:rsidR="00000000" w:rsidRPr="00000000">
              <w:rPr>
                <w:rFonts w:ascii="Calibri" w:cs="Calibri" w:eastAsia="Calibri" w:hAnsi="Calibri"/>
                <w:sz w:val="26"/>
                <w:szCs w:val="26"/>
                <w:rtl w:val="0"/>
              </w:rPr>
              <w:t xml:space="preserve"> Ensuring that emergency and temporary accommodation, including gender-segregated accommodation, is available, safe, accessible, </w:t>
            </w:r>
            <w:r w:rsidDel="00000000" w:rsidR="00000000" w:rsidRPr="00000000">
              <w:rPr>
                <w:rFonts w:ascii="Calibri" w:cs="Calibri" w:eastAsia="Calibri" w:hAnsi="Calibri"/>
                <w:b w:val="1"/>
                <w:bCs w:val="1"/>
                <w:sz w:val="26"/>
                <w:szCs w:val="26"/>
                <w:rtl w:val="0"/>
              </w:rPr>
              <w:t xml:space="preserve">inclusive </w:t>
            </w:r>
            <w:r w:rsidDel="00000000" w:rsidR="00000000" w:rsidRPr="00000000">
              <w:rPr>
                <w:rFonts w:ascii="Calibri" w:cs="Calibri" w:eastAsia="Calibri" w:hAnsi="Calibri"/>
                <w:sz w:val="26"/>
                <w:szCs w:val="26"/>
                <w:rtl w:val="0"/>
              </w:rPr>
              <w:t xml:space="preserve">and sufficient to meet the needs of all people experiencing</w:t>
            </w: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sz w:val="26"/>
                <w:szCs w:val="26"/>
                <w:rtl w:val="0"/>
              </w:rPr>
              <w:t xml:space="preserve">homelessness,</w:t>
            </w:r>
            <w:r w:rsidDel="00000000" w:rsidR="00000000" w:rsidRPr="00000000">
              <w:rPr>
                <w:rFonts w:ascii="Calibri" w:cs="Calibri" w:eastAsia="Calibri" w:hAnsi="Calibri"/>
                <w:b w:val="1"/>
                <w:bCs w:val="1"/>
                <w:sz w:val="26"/>
                <w:szCs w:val="26"/>
                <w:rtl w:val="0"/>
              </w:rPr>
              <w:t xml:space="preserve"> including persons with disabilities, </w:t>
            </w:r>
            <w:r w:rsidDel="00000000" w:rsidR="00000000" w:rsidRPr="00000000">
              <w:rPr>
                <w:rFonts w:ascii="Calibri" w:cs="Calibri" w:eastAsia="Calibri" w:hAnsi="Calibri"/>
                <w:sz w:val="26"/>
                <w:szCs w:val="26"/>
                <w:rtl w:val="0"/>
              </w:rPr>
              <w:t xml:space="preserve">victims of domestic and sexual violence, </w:t>
            </w:r>
            <w:r w:rsidDel="00000000" w:rsidR="00000000" w:rsidRPr="00000000">
              <w:rPr>
                <w:rFonts w:ascii="Calibri" w:cs="Calibri" w:eastAsia="Calibri" w:hAnsi="Calibri"/>
                <w:b w:val="1"/>
                <w:bCs w:val="1"/>
                <w:sz w:val="26"/>
                <w:szCs w:val="26"/>
                <w:rtl w:val="0"/>
              </w:rPr>
              <w:t xml:space="preserve">and is accompanied by appropriate support services</w:t>
            </w:r>
            <w:r w:rsidDel="00000000" w:rsidR="00000000" w:rsidRPr="00000000">
              <w:rPr>
                <w:rFonts w:ascii="Calibri" w:cs="Calibri" w:eastAsia="Calibri" w:hAnsi="Calibri"/>
                <w:sz w:val="26"/>
                <w:szCs w:val="26"/>
                <w:rtl w:val="0"/>
              </w:rPr>
              <w:t xml:space="preserve"> while supporting their transition to stable housing. </w:t>
            </w: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71">
            <w:pPr>
              <w:widowControl w:val="0"/>
              <w:spacing w:line="276" w:lineRule="auto"/>
              <w:rPr>
                <w:rFonts w:ascii="Calibri" w:cs="Calibri" w:eastAsia="Calibri" w:hAnsi="Calibri"/>
                <w:color w:val="980000"/>
                <w:sz w:val="26"/>
                <w:szCs w:val="26"/>
              </w:rPr>
            </w:pPr>
            <w:r w:rsidDel="00000000" w:rsidR="00000000" w:rsidRPr="00000000">
              <w:rPr>
                <w:rFonts w:ascii="Calibri" w:cs="Calibri" w:eastAsia="Calibri" w:hAnsi="Calibri"/>
                <w:sz w:val="26"/>
                <w:szCs w:val="26"/>
                <w:rtl w:val="0"/>
              </w:rPr>
              <w:t xml:space="preserve">Explanation: Emergency and temporary accommodation should be accessible and accompanied by appropriate support services, including disability-specific support where needed. This is essential to ensure equal access for persons with disabilities, facilitate their transition to stable housing and prevent homelessness, segregation and institutionalisation. </w:t>
            </w:r>
            <w:r w:rsidDel="00000000" w:rsidR="00000000" w:rsidRPr="00000000">
              <w:rPr>
                <w:rtl w:val="0"/>
              </w:rPr>
            </w:r>
          </w:p>
        </w:tc>
      </w:tr>
    </w:tbl>
    <w:p w:rsidR="00000000" w:rsidDel="00000000" w:rsidP="00000000" w:rsidRDefault="00000000" w:rsidRPr="00000000" w14:paraId="00000073">
      <w:pPr>
        <w:spacing w:before="126" w:line="276" w:lineRule="auto"/>
        <w:jc w:val="both"/>
        <w:rPr>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Calibri" w:cs="Calibri" w:eastAsia="Calibri" w:hAnsi="Calibri"/>
          <w:b w:val="1"/>
          <w:bCs w:val="1"/>
          <w:color w:val="e76f35"/>
          <w:sz w:val="26"/>
          <w:szCs w:val="26"/>
        </w:rPr>
      </w:pPr>
      <w:r w:rsidDel="00000000" w:rsidR="00000000" w:rsidRPr="00000000">
        <w:rPr>
          <w:rFonts w:ascii="Calibri" w:cs="Calibri" w:eastAsia="Calibri" w:hAnsi="Calibri"/>
          <w:b w:val="1"/>
          <w:bCs w:val="1"/>
          <w:color w:val="e76f35"/>
          <w:sz w:val="26"/>
          <w:szCs w:val="26"/>
          <w:rtl w:val="0"/>
        </w:rPr>
        <w:t xml:space="preserve">Paragraph 6, k) - NEW</w:t>
      </w:r>
    </w:p>
    <w:p w:rsidR="00000000" w:rsidDel="00000000" w:rsidP="00000000" w:rsidRDefault="00000000" w:rsidRPr="00000000" w14:paraId="00000075">
      <w:pPr>
        <w:spacing w:before="126" w:line="276" w:lineRule="auto"/>
        <w:jc w:val="both"/>
        <w:rPr>
          <w:sz w:val="24"/>
          <w:szCs w:val="24"/>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349"/>
        <w:tblGridChange w:id="0">
          <w:tblGrid>
            <w:gridCol w:w="4680"/>
            <w:gridCol w:w="434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6">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Text proposed by the European Commission</w:t>
            </w:r>
          </w:p>
        </w:tc>
        <w:tc>
          <w:tcPr>
            <w:tcMar>
              <w:top w:w="100.0" w:type="dxa"/>
              <w:left w:w="100.0" w:type="dxa"/>
              <w:bottom w:w="100.0" w:type="dxa"/>
              <w:right w:w="100.0" w:type="dxa"/>
            </w:tcMar>
          </w:tcPr>
          <w:p w:rsidR="00000000" w:rsidDel="00000000" w:rsidP="00000000" w:rsidRDefault="00000000" w:rsidRPr="00000000" w14:paraId="00000077">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Amendments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To reduce the length of time that people experience homelessness or rely on emergency or temporary accommodation, Member States are recommended to provide a person-centred, integrated and accessible support through: </w:t>
            </w:r>
          </w:p>
          <w:p w:rsidR="00000000" w:rsidDel="00000000" w:rsidP="00000000" w:rsidRDefault="00000000" w:rsidRPr="00000000" w14:paraId="00000079">
            <w:pPr>
              <w:widowControl w:val="0"/>
              <w:spacing w:line="276"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A">
            <w:pPr>
              <w:widowControl w:val="0"/>
              <w:spacing w:line="276" w:lineRule="auto"/>
              <w:rPr>
                <w:rFonts w:ascii="Calibri" w:cs="Calibri" w:eastAsia="Calibri" w:hAnsi="Calibri"/>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To reduce the length of time that people experience homelessness or rely on emergency or temporary accommodation, Member States are recommended to provide a person-centred, integrated and accessible support through: </w:t>
            </w:r>
          </w:p>
          <w:p w:rsidR="00000000" w:rsidDel="00000000" w:rsidP="00000000" w:rsidRDefault="00000000" w:rsidRPr="00000000" w14:paraId="0000007C">
            <w:pPr>
              <w:spacing w:line="276"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(k)</w:t>
            </w:r>
          </w:p>
          <w:p w:rsidR="00000000" w:rsidDel="00000000" w:rsidP="00000000" w:rsidRDefault="00000000" w:rsidRPr="00000000" w14:paraId="0000007D">
            <w:pPr>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Such support should follow a Housing and Support First approach, combining access to permanent housing with community-based support tailored to the person's needs and preferences.</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color w:val="990000"/>
                <w:sz w:val="26"/>
                <w:szCs w:val="26"/>
              </w:rPr>
            </w:pPr>
            <w:r w:rsidDel="00000000" w:rsidR="00000000" w:rsidRPr="00000000">
              <w:rPr>
                <w:rFonts w:ascii="Calibri" w:cs="Calibri" w:eastAsia="Calibri" w:hAnsi="Calibri"/>
                <w:b w:val="1"/>
                <w:bCs w:val="1"/>
                <w:sz w:val="26"/>
                <w:szCs w:val="26"/>
                <w:rtl w:val="0"/>
              </w:rPr>
              <w:t xml:space="preserve">Member States should ensure that public funding and Union funds used to prevent housing exclusion and homelessness support accessible housing and community-based living arrangements and do not contribute to the creation, renovation or maintenance of institutional or segregated residential settings</w:t>
            </w:r>
            <w:r w:rsidDel="00000000" w:rsidR="00000000" w:rsidRPr="00000000">
              <w:rPr>
                <w:rFonts w:ascii="Calibri" w:cs="Calibri" w:eastAsia="Calibri" w:hAnsi="Calibri"/>
                <w:color w:val="990000"/>
                <w:sz w:val="26"/>
                <w:szCs w:val="26"/>
                <w:rtl w:val="0"/>
              </w:rPr>
              <w:t xml:space="preserve">.</w:t>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07F">
            <w:pPr>
              <w:widowControl w:val="0"/>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Explanation: Persons with disabilities are disproportionately affected by homelessness and housing exclusion. Research suggests that many people experiencing homelessness have psychosocial disabilities, mental health conditions or other support needs. Housing alone is often insufficient to ensure sustainable inclusion. Access to community-based support services, including personal assistance, mental health support and peer support, is equally important to enable independent living and prevent homelessness, segregation and institutionalisation. </w:t>
            </w:r>
          </w:p>
        </w:tc>
      </w:tr>
    </w:tbl>
    <w:p w:rsidR="00000000" w:rsidDel="00000000" w:rsidP="00000000" w:rsidRDefault="00000000" w:rsidRPr="00000000" w14:paraId="00000081">
      <w:pPr>
        <w:spacing w:before="126" w:line="276" w:lineRule="auto"/>
        <w:jc w:val="both"/>
        <w:rPr>
          <w:sz w:val="24"/>
          <w:szCs w:val="24"/>
        </w:rPr>
      </w:pPr>
      <w:r w:rsidDel="00000000" w:rsidR="00000000" w:rsidRPr="00000000">
        <w:rPr>
          <w:rtl w:val="0"/>
        </w:rPr>
      </w:r>
    </w:p>
    <w:p w:rsidR="00000000" w:rsidDel="00000000" w:rsidP="00000000" w:rsidRDefault="00000000" w:rsidRPr="00000000" w14:paraId="00000082">
      <w:pPr>
        <w:spacing w:line="276" w:lineRule="auto"/>
        <w:jc w:val="both"/>
        <w:rPr>
          <w:b w:val="1"/>
          <w:bCs w:val="1"/>
        </w:rPr>
      </w:pPr>
      <w:r w:rsidDel="00000000" w:rsidR="00000000" w:rsidRPr="00000000">
        <w:rPr>
          <w:rtl w:val="0"/>
        </w:rPr>
      </w:r>
    </w:p>
    <w:p w:rsidR="00000000" w:rsidDel="00000000" w:rsidP="00000000" w:rsidRDefault="00000000" w:rsidRPr="00000000" w14:paraId="00000083">
      <w:pPr>
        <w:spacing w:line="276" w:lineRule="auto"/>
        <w:jc w:val="both"/>
        <w:rPr>
          <w:b w:val="1"/>
          <w:bCs w:val="1"/>
        </w:rPr>
      </w:pPr>
      <w:r w:rsidDel="00000000" w:rsidR="00000000" w:rsidRPr="00000000">
        <w:rPr>
          <w:rtl w:val="0"/>
        </w:rPr>
      </w:r>
    </w:p>
    <w:p w:rsidR="00000000" w:rsidDel="00000000" w:rsidP="00000000" w:rsidRDefault="00000000" w:rsidRPr="00000000" w14:paraId="00000084">
      <w:pPr>
        <w:spacing w:line="276" w:lineRule="auto"/>
        <w:jc w:val="both"/>
        <w:rPr>
          <w:b w:val="1"/>
          <w:bCs w:val="1"/>
        </w:rPr>
      </w:pPr>
      <w:r w:rsidDel="00000000" w:rsidR="00000000" w:rsidRPr="00000000">
        <w:rPr>
          <w:rtl w:val="0"/>
        </w:rPr>
      </w:r>
    </w:p>
    <w:p w:rsidR="00000000" w:rsidDel="00000000" w:rsidP="00000000" w:rsidRDefault="00000000" w:rsidRPr="00000000" w14:paraId="00000085">
      <w:pPr>
        <w:spacing w:line="276" w:lineRule="auto"/>
        <w:jc w:val="both"/>
        <w:rPr>
          <w:b w:val="1"/>
          <w:bCs w:val="1"/>
        </w:rPr>
      </w:pPr>
      <w:r w:rsidDel="00000000" w:rsidR="00000000" w:rsidRPr="00000000">
        <w:rPr>
          <w:rtl w:val="0"/>
        </w:rPr>
      </w:r>
    </w:p>
    <w:p w:rsidR="00000000" w:rsidDel="00000000" w:rsidP="00000000" w:rsidRDefault="00000000" w:rsidRPr="00000000" w14:paraId="00000086">
      <w:pPr>
        <w:spacing w:line="276" w:lineRule="auto"/>
        <w:jc w:val="both"/>
        <w:rPr>
          <w:b w:val="1"/>
          <w:bCs w:val="1"/>
        </w:rPr>
      </w:pPr>
      <w:r w:rsidDel="00000000" w:rsidR="00000000" w:rsidRPr="00000000">
        <w:rPr>
          <w:rtl w:val="0"/>
        </w:rPr>
      </w:r>
    </w:p>
    <w:p w:rsidR="00000000" w:rsidDel="00000000" w:rsidP="00000000" w:rsidRDefault="00000000" w:rsidRPr="00000000" w14:paraId="00000087">
      <w:pPr>
        <w:spacing w:line="276" w:lineRule="auto"/>
        <w:jc w:val="both"/>
        <w:rPr>
          <w:b w:val="1"/>
          <w:bCs w:val="1"/>
        </w:rPr>
      </w:pPr>
      <w:r w:rsidDel="00000000" w:rsidR="00000000" w:rsidRPr="00000000">
        <w:rPr>
          <w:rtl w:val="0"/>
        </w:rPr>
      </w:r>
    </w:p>
    <w:p w:rsidR="00000000" w:rsidDel="00000000" w:rsidP="00000000" w:rsidRDefault="00000000" w:rsidRPr="00000000" w14:paraId="00000088">
      <w:pPr>
        <w:spacing w:line="276" w:lineRule="auto"/>
        <w:jc w:val="both"/>
        <w:rPr>
          <w:b w:val="1"/>
          <w:bCs w:val="1"/>
        </w:rPr>
      </w:pPr>
      <w:r w:rsidDel="00000000" w:rsidR="00000000" w:rsidRPr="00000000">
        <w:rPr>
          <w:rtl w:val="0"/>
        </w:rPr>
      </w:r>
    </w:p>
    <w:p w:rsidR="00000000" w:rsidDel="00000000" w:rsidP="00000000" w:rsidRDefault="00000000" w:rsidRPr="00000000" w14:paraId="00000089">
      <w:pPr>
        <w:spacing w:line="276" w:lineRule="auto"/>
        <w:jc w:val="both"/>
        <w:rPr>
          <w:b w:val="1"/>
          <w:bCs w:val="1"/>
        </w:rPr>
      </w:pPr>
      <w:r w:rsidDel="00000000" w:rsidR="00000000" w:rsidRPr="00000000">
        <w:rPr>
          <w:rtl w:val="0"/>
        </w:rPr>
      </w:r>
    </w:p>
    <w:p w:rsidR="00000000" w:rsidDel="00000000" w:rsidP="00000000" w:rsidRDefault="00000000" w:rsidRPr="00000000" w14:paraId="0000008A">
      <w:pPr>
        <w:spacing w:line="276" w:lineRule="auto"/>
        <w:jc w:val="both"/>
        <w:rPr>
          <w:b w:val="1"/>
          <w:bCs w:val="1"/>
        </w:rPr>
      </w:pPr>
      <w:r w:rsidDel="00000000" w:rsidR="00000000" w:rsidRPr="00000000">
        <w:rPr>
          <w:rtl w:val="0"/>
        </w:rPr>
      </w:r>
    </w:p>
    <w:p w:rsidR="00000000" w:rsidDel="00000000" w:rsidP="00000000" w:rsidRDefault="00000000" w:rsidRPr="00000000" w14:paraId="0000008B">
      <w:pPr>
        <w:spacing w:line="276" w:lineRule="auto"/>
        <w:jc w:val="both"/>
        <w:rPr>
          <w:b w:val="1"/>
          <w:bCs w:val="1"/>
        </w:rPr>
      </w:pPr>
      <w:r w:rsidDel="00000000" w:rsidR="00000000" w:rsidRPr="00000000">
        <w:rPr>
          <w:rtl w:val="0"/>
        </w:rPr>
      </w:r>
    </w:p>
    <w:p w:rsidR="00000000" w:rsidDel="00000000" w:rsidP="00000000" w:rsidRDefault="00000000" w:rsidRPr="00000000" w14:paraId="0000008C">
      <w:pPr>
        <w:spacing w:line="276" w:lineRule="auto"/>
        <w:jc w:val="both"/>
        <w:rPr>
          <w:b w:val="1"/>
          <w:bCs w:val="1"/>
        </w:rPr>
      </w:pPr>
      <w:r w:rsidDel="00000000" w:rsidR="00000000" w:rsidRPr="00000000">
        <w:rPr>
          <w:rtl w:val="0"/>
        </w:rPr>
      </w:r>
    </w:p>
    <w:p w:rsidR="00000000" w:rsidDel="00000000" w:rsidP="00000000" w:rsidRDefault="00000000" w:rsidRPr="00000000" w14:paraId="0000008D">
      <w:pPr>
        <w:spacing w:line="276" w:lineRule="auto"/>
        <w:jc w:val="both"/>
        <w:rPr>
          <w:b w:val="1"/>
          <w:bCs w:val="1"/>
        </w:rPr>
      </w:pPr>
      <w:r w:rsidDel="00000000" w:rsidR="00000000" w:rsidRPr="00000000">
        <w:rPr>
          <w:rtl w:val="0"/>
        </w:rPr>
      </w:r>
    </w:p>
    <w:p w:rsidR="00000000" w:rsidDel="00000000" w:rsidP="00000000" w:rsidRDefault="00000000" w:rsidRPr="00000000" w14:paraId="0000008E">
      <w:pPr>
        <w:spacing w:line="276" w:lineRule="auto"/>
        <w:jc w:val="both"/>
        <w:rPr>
          <w:b w:val="1"/>
          <w:bCs w:val="1"/>
        </w:rPr>
      </w:pPr>
      <w:r w:rsidDel="00000000" w:rsidR="00000000" w:rsidRPr="00000000">
        <w:rPr>
          <w:rtl w:val="0"/>
        </w:rPr>
      </w:r>
    </w:p>
    <w:p w:rsidR="00000000" w:rsidDel="00000000" w:rsidP="00000000" w:rsidRDefault="00000000" w:rsidRPr="00000000" w14:paraId="0000008F">
      <w:pPr>
        <w:spacing w:line="276" w:lineRule="auto"/>
        <w:jc w:val="both"/>
        <w:rPr>
          <w:b w:val="1"/>
          <w:bCs w:val="1"/>
        </w:rPr>
      </w:pPr>
      <w:r w:rsidDel="00000000" w:rsidR="00000000" w:rsidRPr="00000000">
        <w:rPr>
          <w:rtl w:val="0"/>
        </w:rPr>
      </w:r>
    </w:p>
    <w:p w:rsidR="00000000" w:rsidDel="00000000" w:rsidP="00000000" w:rsidRDefault="00000000" w:rsidRPr="00000000" w14:paraId="00000090">
      <w:pPr>
        <w:spacing w:line="276" w:lineRule="auto"/>
        <w:jc w:val="both"/>
        <w:rPr>
          <w:b w:val="1"/>
          <w:bCs w:val="1"/>
        </w:rPr>
      </w:pPr>
      <w:r w:rsidDel="00000000" w:rsidR="00000000" w:rsidRPr="00000000">
        <w:rPr>
          <w:rtl w:val="0"/>
        </w:rPr>
      </w:r>
    </w:p>
    <w:p w:rsidR="00000000" w:rsidDel="00000000" w:rsidP="00000000" w:rsidRDefault="00000000" w:rsidRPr="00000000" w14:paraId="00000091">
      <w:pPr>
        <w:spacing w:line="276" w:lineRule="auto"/>
        <w:jc w:val="both"/>
        <w:rPr>
          <w:b w:val="1"/>
          <w:bCs w:val="1"/>
        </w:rPr>
      </w:pPr>
      <w:r w:rsidDel="00000000" w:rsidR="00000000" w:rsidRPr="00000000">
        <w:rPr>
          <w:rtl w:val="0"/>
        </w:rPr>
      </w:r>
    </w:p>
    <w:p w:rsidR="00000000" w:rsidDel="00000000" w:rsidP="00000000" w:rsidRDefault="00000000" w:rsidRPr="00000000" w14:paraId="00000092">
      <w:pPr>
        <w:spacing w:line="276" w:lineRule="auto"/>
        <w:jc w:val="both"/>
        <w:rPr>
          <w:b w:val="1"/>
          <w:bCs w:val="1"/>
        </w:rPr>
      </w:pPr>
      <w:r w:rsidDel="00000000" w:rsidR="00000000" w:rsidRPr="00000000">
        <w:rPr>
          <w:rtl w:val="0"/>
        </w:rPr>
      </w:r>
    </w:p>
    <w:p w:rsidR="00000000" w:rsidDel="00000000" w:rsidP="00000000" w:rsidRDefault="00000000" w:rsidRPr="00000000" w14:paraId="00000093">
      <w:pPr>
        <w:spacing w:line="276" w:lineRule="auto"/>
        <w:jc w:val="both"/>
        <w:rPr>
          <w:b w:val="1"/>
          <w:bCs w:val="1"/>
        </w:rPr>
      </w:pPr>
      <w:r w:rsidDel="00000000" w:rsidR="00000000" w:rsidRPr="00000000">
        <w:rPr>
          <w:rtl w:val="0"/>
        </w:rPr>
      </w:r>
    </w:p>
    <w:p w:rsidR="00000000" w:rsidDel="00000000" w:rsidP="00000000" w:rsidRDefault="00000000" w:rsidRPr="00000000" w14:paraId="00000094">
      <w:pPr>
        <w:spacing w:line="276" w:lineRule="auto"/>
        <w:jc w:val="both"/>
        <w:rPr>
          <w:b w:val="1"/>
          <w:bCs w:val="1"/>
        </w:rPr>
      </w:pPr>
      <w:r w:rsidDel="00000000" w:rsidR="00000000" w:rsidRPr="00000000">
        <w:rPr>
          <w:rtl w:val="0"/>
        </w:rPr>
      </w:r>
    </w:p>
    <w:p w:rsidR="00000000" w:rsidDel="00000000" w:rsidP="00000000" w:rsidRDefault="00000000" w:rsidRPr="00000000" w14:paraId="00000095">
      <w:pPr>
        <w:spacing w:line="276" w:lineRule="auto"/>
        <w:jc w:val="both"/>
        <w:rPr>
          <w:b w:val="1"/>
          <w:bCs w:val="1"/>
        </w:rPr>
      </w:pPr>
      <w:r w:rsidDel="00000000" w:rsidR="00000000" w:rsidRPr="00000000">
        <w:rPr>
          <w:rtl w:val="0"/>
        </w:rPr>
      </w:r>
    </w:p>
    <w:p w:rsidR="00000000" w:rsidDel="00000000" w:rsidP="00000000" w:rsidRDefault="00000000" w:rsidRPr="00000000" w14:paraId="00000096">
      <w:pPr>
        <w:spacing w:line="276" w:lineRule="auto"/>
        <w:jc w:val="both"/>
        <w:rPr>
          <w:b w:val="1"/>
          <w:bCs w:val="1"/>
        </w:rPr>
      </w:pPr>
      <w:r w:rsidDel="00000000" w:rsidR="00000000" w:rsidRPr="00000000">
        <w:rPr>
          <w:rtl w:val="0"/>
        </w:rPr>
      </w:r>
    </w:p>
    <w:p w:rsidR="00000000" w:rsidDel="00000000" w:rsidP="00000000" w:rsidRDefault="00000000" w:rsidRPr="00000000" w14:paraId="00000097">
      <w:pPr>
        <w:spacing w:line="276" w:lineRule="auto"/>
        <w:jc w:val="both"/>
        <w:rPr>
          <w:b w:val="1"/>
          <w:bCs w:val="1"/>
        </w:rPr>
      </w:pPr>
      <w:r w:rsidDel="00000000" w:rsidR="00000000" w:rsidRPr="00000000">
        <w:rPr>
          <w:rtl w:val="0"/>
        </w:rPr>
      </w:r>
    </w:p>
    <w:p w:rsidR="00000000" w:rsidDel="00000000" w:rsidP="00000000" w:rsidRDefault="00000000" w:rsidRPr="00000000" w14:paraId="00000098">
      <w:pPr>
        <w:spacing w:line="276" w:lineRule="auto"/>
        <w:jc w:val="both"/>
        <w:rPr>
          <w:b w:val="1"/>
          <w:bCs w:val="1"/>
        </w:rPr>
      </w:pPr>
      <w:r w:rsidDel="00000000" w:rsidR="00000000" w:rsidRPr="00000000">
        <w:rPr>
          <w:rtl w:val="0"/>
        </w:rPr>
      </w:r>
    </w:p>
    <w:p w:rsidR="00000000" w:rsidDel="00000000" w:rsidP="00000000" w:rsidRDefault="00000000" w:rsidRPr="00000000" w14:paraId="00000099">
      <w:pPr>
        <w:spacing w:line="276" w:lineRule="auto"/>
        <w:jc w:val="both"/>
        <w:rPr>
          <w:b w:val="1"/>
          <w:bCs w:val="1"/>
        </w:rPr>
      </w:pPr>
      <w:r w:rsidDel="00000000" w:rsidR="00000000" w:rsidRPr="00000000">
        <w:rPr>
          <w:rtl w:val="0"/>
        </w:rPr>
      </w:r>
    </w:p>
    <w:p w:rsidR="00000000" w:rsidDel="00000000" w:rsidP="00000000" w:rsidRDefault="00000000" w:rsidRPr="00000000" w14:paraId="0000009A">
      <w:pPr>
        <w:spacing w:line="276" w:lineRule="auto"/>
        <w:jc w:val="both"/>
        <w:rPr>
          <w:b w:val="1"/>
          <w:bCs w:val="1"/>
        </w:rPr>
      </w:pPr>
      <w:r w:rsidDel="00000000" w:rsidR="00000000" w:rsidRPr="00000000">
        <w:rPr>
          <w:rtl w:val="0"/>
        </w:rPr>
      </w:r>
    </w:p>
    <w:p w:rsidR="00000000" w:rsidDel="00000000" w:rsidP="00000000" w:rsidRDefault="00000000" w:rsidRPr="00000000" w14:paraId="0000009B">
      <w:pPr>
        <w:spacing w:line="276" w:lineRule="auto"/>
        <w:jc w:val="both"/>
        <w:rPr>
          <w:b w:val="1"/>
          <w:bCs w:val="1"/>
        </w:rPr>
      </w:pPr>
      <w:r w:rsidDel="00000000" w:rsidR="00000000" w:rsidRPr="00000000">
        <w:rPr>
          <w:rtl w:val="0"/>
        </w:rPr>
      </w:r>
    </w:p>
    <w:p w:rsidR="00000000" w:rsidDel="00000000" w:rsidP="00000000" w:rsidRDefault="00000000" w:rsidRPr="00000000" w14:paraId="0000009C">
      <w:pPr>
        <w:spacing w:line="276" w:lineRule="auto"/>
        <w:jc w:val="both"/>
        <w:rPr>
          <w:b w:val="1"/>
          <w:bCs w:val="1"/>
        </w:rPr>
      </w:pPr>
      <w:r w:rsidDel="00000000" w:rsidR="00000000" w:rsidRPr="00000000">
        <w:rPr>
          <w:rtl w:val="0"/>
        </w:rPr>
      </w:r>
    </w:p>
    <w:p w:rsidR="00000000" w:rsidDel="00000000" w:rsidP="00000000" w:rsidRDefault="00000000" w:rsidRPr="00000000" w14:paraId="0000009D">
      <w:pPr>
        <w:spacing w:line="276" w:lineRule="auto"/>
        <w:jc w:val="both"/>
        <w:rPr>
          <w:b w:val="1"/>
          <w:bCs w:val="1"/>
        </w:rPr>
      </w:pPr>
      <w:r w:rsidDel="00000000" w:rsidR="00000000" w:rsidRPr="00000000">
        <w:rPr>
          <w:rtl w:val="0"/>
        </w:rPr>
      </w:r>
    </w:p>
    <w:p w:rsidR="00000000" w:rsidDel="00000000" w:rsidP="00000000" w:rsidRDefault="00000000" w:rsidRPr="00000000" w14:paraId="0000009E">
      <w:pPr>
        <w:spacing w:line="276" w:lineRule="auto"/>
        <w:jc w:val="both"/>
        <w:rPr>
          <w:b w:val="1"/>
          <w:bCs w:val="1"/>
        </w:rPr>
      </w:pPr>
      <w:r w:rsidDel="00000000" w:rsidR="00000000" w:rsidRPr="00000000">
        <w:rPr>
          <w:rtl w:val="0"/>
        </w:rPr>
      </w:r>
    </w:p>
    <w:p w:rsidR="00000000" w:rsidDel="00000000" w:rsidP="00000000" w:rsidRDefault="00000000" w:rsidRPr="00000000" w14:paraId="0000009F">
      <w:pPr>
        <w:pStyle w:val="Heading1"/>
        <w:keepNext w:val="0"/>
        <w:keepLines w:val="0"/>
        <w:spacing w:before="120" w:line="276" w:lineRule="auto"/>
        <w:ind w:right="-40.8661417322827"/>
        <w:jc w:val="both"/>
        <w:rPr>
          <w:rFonts w:ascii="Calibri" w:cs="Calibri" w:eastAsia="Calibri" w:hAnsi="Calibri"/>
          <w:b w:val="1"/>
          <w:bCs w:val="1"/>
          <w:color w:val="355585"/>
          <w:sz w:val="24"/>
          <w:szCs w:val="24"/>
        </w:rPr>
      </w:pPr>
      <w:r w:rsidDel="00000000" w:rsidR="00000000" w:rsidRPr="00000000">
        <w:rPr>
          <w:rFonts w:ascii="Calibri" w:cs="Calibri" w:eastAsia="Calibri" w:hAnsi="Calibri"/>
          <w:b w:val="1"/>
          <w:bCs w:val="1"/>
          <w:color w:val="355585"/>
          <w:sz w:val="24"/>
          <w:szCs w:val="24"/>
          <w:rtl w:val="0"/>
        </w:rPr>
        <w:t xml:space="preserve">About the European Network on Independent Living</w:t>
      </w:r>
    </w:p>
    <w:p w:rsidR="00000000" w:rsidDel="00000000" w:rsidP="00000000" w:rsidRDefault="00000000" w:rsidRPr="00000000" w14:paraId="000000A0">
      <w:pPr>
        <w:spacing w:after="240" w:before="240" w:line="276" w:lineRule="auto"/>
        <w:ind w:right="-40.8661417322827"/>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The European Network on Independent Living (ENIL) is a disabled-led, cross-disability network of disabled people and their representative organisations. ENIL promotes the right to independent living, as set out in Article 19 of the UN Convention on the Rights of Persons with Disabilities (CRPD), its General Comments and the Guidelines on deinstitutionalisation, including in emergencies. ENIL’s work is guided by the CRPD and the Independent Living principles, enshrined in the Independent Living Pillars. ENIL is active at the European level, and internationally, through cooperation with Centres for Independent Living from around the globe. ENIL’s actions and activities are based on the social and the human rights models of disability, and on the principles of inclusive equality, self-determination, solidarity and intersectionality.</w:t>
      </w:r>
    </w:p>
    <w:p w:rsidR="00000000" w:rsidDel="00000000" w:rsidP="00000000" w:rsidRDefault="00000000" w:rsidRPr="00000000" w14:paraId="000000A1">
      <w:pPr>
        <w:spacing w:after="240" w:before="240" w:line="276" w:lineRule="auto"/>
        <w:ind w:right="-40.8661417322827"/>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ENIL has participatory status with the Council of Europe (i.e. is a member of the Conference of INGOs) and consultative status with ECOSOC.</w:t>
      </w:r>
    </w:p>
    <w:p w:rsidR="00000000" w:rsidDel="00000000" w:rsidP="00000000" w:rsidRDefault="00000000" w:rsidRPr="00000000" w14:paraId="000000A2">
      <w:pPr>
        <w:spacing w:before="126"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Contact us</w:t>
      </w:r>
    </w:p>
    <w:p w:rsidR="00000000" w:rsidDel="00000000" w:rsidP="00000000" w:rsidRDefault="00000000" w:rsidRPr="00000000" w14:paraId="000000A3">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European Network on Independent Living (ENIL)</w:t>
      </w:r>
    </w:p>
    <w:p w:rsidR="00000000" w:rsidDel="00000000" w:rsidP="00000000" w:rsidRDefault="00000000" w:rsidRPr="00000000" w14:paraId="000000A4">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4th Floor – Nestin</w:t>
      </w:r>
    </w:p>
    <w:p w:rsidR="00000000" w:rsidDel="00000000" w:rsidP="00000000" w:rsidRDefault="00000000" w:rsidRPr="00000000" w14:paraId="000000A5">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Rue de l’Industrie 10</w:t>
      </w:r>
    </w:p>
    <w:p w:rsidR="00000000" w:rsidDel="00000000" w:rsidP="00000000" w:rsidRDefault="00000000" w:rsidRPr="00000000" w14:paraId="000000A6">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1000 Brussels</w:t>
      </w:r>
    </w:p>
    <w:p w:rsidR="00000000" w:rsidDel="00000000" w:rsidP="00000000" w:rsidRDefault="00000000" w:rsidRPr="00000000" w14:paraId="000000A7">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Belgium</w:t>
      </w:r>
    </w:p>
    <w:p w:rsidR="00000000" w:rsidDel="00000000" w:rsidP="00000000" w:rsidRDefault="00000000" w:rsidRPr="00000000" w14:paraId="000000A8">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E-mail: secretariat@enil.eu</w:t>
      </w:r>
    </w:p>
    <w:p w:rsidR="00000000" w:rsidDel="00000000" w:rsidP="00000000" w:rsidRDefault="00000000" w:rsidRPr="00000000" w14:paraId="000000A9">
      <w:pPr>
        <w:spacing w:line="276" w:lineRule="auto"/>
        <w:ind w:right="782"/>
        <w:jc w:val="both"/>
        <w:rPr>
          <w:rFonts w:ascii="Calibri" w:cs="Calibri" w:eastAsia="Calibri" w:hAnsi="Calibri"/>
          <w:color w:val="355585"/>
          <w:sz w:val="24"/>
          <w:szCs w:val="24"/>
          <w:u w:val="single"/>
        </w:rPr>
      </w:pPr>
      <w:r w:rsidDel="00000000" w:rsidR="00000000" w:rsidRPr="00000000">
        <w:rPr>
          <w:rFonts w:ascii="Calibri" w:cs="Calibri" w:eastAsia="Calibri" w:hAnsi="Calibri"/>
          <w:color w:val="355585"/>
          <w:sz w:val="24"/>
          <w:szCs w:val="24"/>
          <w:rtl w:val="0"/>
        </w:rPr>
        <w:t xml:space="preserve">Website:</w:t>
      </w:r>
      <w:hyperlink r:id="rId7">
        <w:r w:rsidDel="00000000" w:rsidR="00000000" w:rsidRPr="00000000">
          <w:rPr>
            <w:rFonts w:ascii="Calibri" w:cs="Calibri" w:eastAsia="Calibri" w:hAnsi="Calibri"/>
            <w:color w:val="355585"/>
            <w:sz w:val="24"/>
            <w:szCs w:val="24"/>
            <w:rtl w:val="0"/>
          </w:rPr>
          <w:t xml:space="preserve"> </w:t>
        </w:r>
      </w:hyperlink>
      <w:hyperlink r:id="rId8">
        <w:r w:rsidDel="00000000" w:rsidR="00000000" w:rsidRPr="00000000">
          <w:rPr>
            <w:rFonts w:ascii="Calibri" w:cs="Calibri" w:eastAsia="Calibri" w:hAnsi="Calibri"/>
            <w:color w:val="355585"/>
            <w:sz w:val="24"/>
            <w:szCs w:val="24"/>
            <w:u w:val="single"/>
            <w:rtl w:val="0"/>
          </w:rPr>
          <w:t xml:space="preserve">www.enil.eu</w:t>
        </w:r>
      </w:hyperlink>
      <w:r w:rsidDel="00000000" w:rsidR="00000000" w:rsidRPr="00000000">
        <w:rPr>
          <w:rtl w:val="0"/>
        </w:rPr>
      </w:r>
    </w:p>
    <w:p w:rsidR="00000000" w:rsidDel="00000000" w:rsidP="00000000" w:rsidRDefault="00000000" w:rsidRPr="00000000" w14:paraId="000000AA">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 </w:t>
      </w:r>
    </w:p>
    <w:p w:rsidR="00000000" w:rsidDel="00000000" w:rsidP="00000000" w:rsidRDefault="00000000" w:rsidRPr="00000000" w14:paraId="000000AB">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Written by: dr. Veronika Kovacs</w:t>
      </w:r>
    </w:p>
    <w:p w:rsidR="00000000" w:rsidDel="00000000" w:rsidP="00000000" w:rsidRDefault="00000000" w:rsidRPr="00000000" w14:paraId="000000AC">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 European Network on Independent Living, 2026</w:t>
      </w:r>
    </w:p>
    <w:p w:rsidR="00000000" w:rsidDel="00000000" w:rsidP="00000000" w:rsidRDefault="00000000" w:rsidRPr="00000000" w14:paraId="000000AD">
      <w:pPr>
        <w:spacing w:line="229"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 </w:t>
      </w:r>
    </w:p>
    <w:p w:rsidR="00000000" w:rsidDel="00000000" w:rsidP="00000000" w:rsidRDefault="00000000" w:rsidRPr="00000000" w14:paraId="000000AE">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Pr>
        <w:drawing>
          <wp:inline distB="114300" distT="114300" distL="114300" distR="114300">
            <wp:extent cx="3090863" cy="639229"/>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090863" cy="639229"/>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color w:val="355585"/>
          <w:sz w:val="24"/>
          <w:szCs w:val="24"/>
          <w:rtl w:val="0"/>
        </w:rPr>
        <w:t xml:space="preserve"> </w:t>
      </w:r>
    </w:p>
    <w:p w:rsidR="00000000" w:rsidDel="00000000" w:rsidP="00000000" w:rsidRDefault="00000000" w:rsidRPr="00000000" w14:paraId="000000B0">
      <w:pPr>
        <w:spacing w:line="276" w:lineRule="auto"/>
        <w:ind w:right="782"/>
        <w:jc w:val="both"/>
        <w:rPr>
          <w:rFonts w:ascii="Calibri" w:cs="Calibri" w:eastAsia="Calibri" w:hAnsi="Calibri"/>
          <w:color w:val="355585"/>
          <w:sz w:val="24"/>
          <w:szCs w:val="24"/>
        </w:rPr>
      </w:pPr>
      <w:r w:rsidDel="00000000" w:rsidR="00000000" w:rsidRPr="00000000">
        <w:rPr>
          <w:rFonts w:ascii="Calibri" w:cs="Calibri" w:eastAsia="Calibri" w:hAnsi="Calibri"/>
          <w:i w:val="1"/>
          <w:iCs w:val="1"/>
          <w:color w:val="355585"/>
          <w:sz w:val="24"/>
          <w:szCs w:val="24"/>
          <w:rtl w:val="0"/>
        </w:rPr>
        <w:t xml:space="preserve">Co-funded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B9">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OECD 2021. - A crisis on the horizon: Ensuring affordable, accessible housing for people with disabilities </w:t>
      </w:r>
      <w:hyperlink r:id="rId1">
        <w:r w:rsidDel="00000000" w:rsidR="00000000" w:rsidRPr="00000000">
          <w:rPr>
            <w:rFonts w:ascii="Calibri" w:cs="Calibri" w:eastAsia="Calibri" w:hAnsi="Calibri"/>
            <w:color w:val="1155cc"/>
            <w:sz w:val="20"/>
            <w:szCs w:val="20"/>
            <w:u w:val="single"/>
            <w:rtl w:val="0"/>
          </w:rPr>
          <w:t xml:space="preserve">https://www.oecd.org/content/dam/oecd/en/publications/reports/2021/09/a-crisis-on-the-horizon_f5739419/306e6993-en.pdf</w:t>
        </w:r>
      </w:hyperlink>
      <w:r w:rsidDel="00000000" w:rsidR="00000000" w:rsidRPr="00000000">
        <w:rPr>
          <w:rFonts w:ascii="Calibri" w:cs="Calibri" w:eastAsia="Calibri" w:hAnsi="Calibri"/>
          <w:sz w:val="20"/>
          <w:szCs w:val="20"/>
          <w:rtl w:val="0"/>
        </w:rPr>
        <w:t xml:space="preserve"> </w:t>
      </w:r>
    </w:p>
  </w:footnote>
  <w:footnote w:id="4">
    <w:p w:rsidR="00000000" w:rsidDel="00000000" w:rsidP="00000000" w:rsidRDefault="00000000" w:rsidRPr="00000000" w14:paraId="000000BA">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European Commission. EU ratifies UN Convention on disability rights. </w:t>
      </w:r>
      <w:hyperlink r:id="rId2">
        <w:r w:rsidDel="00000000" w:rsidR="00000000" w:rsidRPr="00000000">
          <w:rPr>
            <w:rFonts w:ascii="Calibri" w:cs="Calibri" w:eastAsia="Calibri" w:hAnsi="Calibri"/>
            <w:color w:val="0000ff"/>
            <w:sz w:val="20"/>
            <w:szCs w:val="20"/>
            <w:u w:val="single"/>
            <w:rtl w:val="0"/>
          </w:rPr>
          <w:t xml:space="preserve">https://ec.europa.eu/commission/presscorner/detail/en/ip_11_4</w:t>
        </w:r>
      </w:hyperlink>
      <w:r w:rsidDel="00000000" w:rsidR="00000000" w:rsidRPr="00000000">
        <w:rPr>
          <w:rFonts w:ascii="Calibri" w:cs="Calibri" w:eastAsia="Calibri" w:hAnsi="Calibri"/>
          <w:sz w:val="20"/>
          <w:szCs w:val="20"/>
          <w:rtl w:val="0"/>
        </w:rPr>
        <w:t xml:space="preserve"> </w:t>
      </w:r>
    </w:p>
  </w:footnote>
  <w:footnote w:id="5">
    <w:p w:rsidR="00000000" w:rsidDel="00000000" w:rsidP="00000000" w:rsidRDefault="00000000" w:rsidRPr="00000000" w14:paraId="000000BB">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Convention on the Rights of Persons with Disabilities </w:t>
      </w:r>
      <w:hyperlink r:id="rId3">
        <w:r w:rsidDel="00000000" w:rsidR="00000000" w:rsidRPr="00000000">
          <w:rPr>
            <w:rFonts w:ascii="Calibri" w:cs="Calibri" w:eastAsia="Calibri" w:hAnsi="Calibri"/>
            <w:color w:val="1155cc"/>
            <w:sz w:val="20"/>
            <w:szCs w:val="20"/>
            <w:u w:val="single"/>
            <w:rtl w:val="0"/>
          </w:rPr>
          <w:t xml:space="preserve">https://www.ohchr.org/en/instruments-mechanisms/instruments/convention-rights-persons-disabilities</w:t>
        </w:r>
      </w:hyperlink>
      <w:r w:rsidDel="00000000" w:rsidR="00000000" w:rsidRPr="00000000">
        <w:rPr>
          <w:rFonts w:ascii="Calibri" w:cs="Calibri" w:eastAsia="Calibri" w:hAnsi="Calibri"/>
          <w:sz w:val="20"/>
          <w:szCs w:val="20"/>
          <w:rtl w:val="0"/>
        </w:rPr>
        <w:t xml:space="preserve"> </w:t>
      </w:r>
    </w:p>
  </w:footnote>
  <w:footnote w:id="2">
    <w:p w:rsidR="00000000" w:rsidDel="00000000" w:rsidP="00000000" w:rsidRDefault="00000000" w:rsidRPr="00000000" w14:paraId="000000BC">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Eurostat 2025. Disability statistics - poverty and income inequalities. </w:t>
      </w:r>
      <w:hyperlink r:id="rId4">
        <w:r w:rsidDel="00000000" w:rsidR="00000000" w:rsidRPr="00000000">
          <w:rPr>
            <w:rFonts w:ascii="Calibri" w:cs="Calibri" w:eastAsia="Calibri" w:hAnsi="Calibri"/>
            <w:color w:val="0000ff"/>
            <w:sz w:val="20"/>
            <w:szCs w:val="20"/>
            <w:u w:val="single"/>
            <w:rtl w:val="0"/>
          </w:rPr>
          <w:t xml:space="preserve">https://ec.europa.eu/eurostat/statistics-explained/index.php?title=Disability_statistics_-_poverty_and_income_inequalities</w:t>
        </w:r>
      </w:hyperlink>
      <w:r w:rsidDel="00000000" w:rsidR="00000000" w:rsidRPr="00000000">
        <w:rPr>
          <w:rFonts w:ascii="Calibri" w:cs="Calibri" w:eastAsia="Calibri" w:hAnsi="Calibri"/>
          <w:sz w:val="20"/>
          <w:szCs w:val="20"/>
          <w:rtl w:val="0"/>
        </w:rPr>
        <w:t xml:space="preserve"> </w:t>
      </w:r>
    </w:p>
  </w:footnote>
  <w:footnote w:id="0">
    <w:p w:rsidR="00000000" w:rsidDel="00000000" w:rsidP="00000000" w:rsidRDefault="00000000" w:rsidRPr="00000000" w14:paraId="000000BD">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highlight w:val="white"/>
          <w:rtl w:val="0"/>
        </w:rPr>
        <w:t xml:space="preserve">The European Affordable Housing Plan</w:t>
      </w:r>
      <w:r w:rsidDel="00000000" w:rsidR="00000000" w:rsidRPr="00000000">
        <w:rPr>
          <w:rFonts w:ascii="Calibri" w:cs="Calibri" w:eastAsia="Calibri" w:hAnsi="Calibri"/>
          <w:sz w:val="20"/>
          <w:szCs w:val="20"/>
          <w:rtl w:val="0"/>
        </w:rPr>
        <w:t xml:space="preserve"> 2025. - </w:t>
      </w:r>
      <w:hyperlink r:id="rId5">
        <w:r w:rsidDel="00000000" w:rsidR="00000000" w:rsidRPr="00000000">
          <w:rPr>
            <w:rFonts w:ascii="Calibri" w:cs="Calibri" w:eastAsia="Calibri" w:hAnsi="Calibri"/>
            <w:color w:val="1155cc"/>
            <w:sz w:val="20"/>
            <w:szCs w:val="20"/>
            <w:u w:val="single"/>
            <w:rtl w:val="0"/>
          </w:rPr>
          <w:t xml:space="preserve">https://eur-lex.europa.eu/legal-content/EN/TXT/?uri=CELEX%3A52025DC1025&amp;qid=1779808979085</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ootnote>
  <w:footnote w:id="3">
    <w:p w:rsidR="00000000" w:rsidDel="00000000" w:rsidP="00000000" w:rsidRDefault="00000000" w:rsidRPr="00000000" w14:paraId="000000BE">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Dr Ilan Wiesel School of Geography Living with disability in inaccessible housing: social, health and economic impacts 2022. - </w:t>
      </w:r>
      <w:hyperlink r:id="rId6">
        <w:r w:rsidDel="00000000" w:rsidR="00000000" w:rsidRPr="00000000">
          <w:rPr>
            <w:rFonts w:ascii="Calibri" w:cs="Calibri" w:eastAsia="Calibri" w:hAnsi="Calibri"/>
            <w:color w:val="1155cc"/>
            <w:sz w:val="20"/>
            <w:szCs w:val="20"/>
            <w:u w:val="single"/>
            <w:rtl w:val="0"/>
          </w:rPr>
          <w:t xml:space="preserve">https://disability.unimelb.edu.au/__data/assets/pdf_file/0019/3522007/Accessible-Housing-FINAL-REPORT.pdf</w:t>
        </w:r>
      </w:hyperlink>
      <w:r w:rsidDel="00000000" w:rsidR="00000000" w:rsidRPr="00000000">
        <w:rPr>
          <w:rFonts w:ascii="Calibri" w:cs="Calibri" w:eastAsia="Calibri" w:hAnsi="Calibri"/>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rFonts w:ascii="Calibri" w:cs="Calibri" w:eastAsia="Calibri" w:hAnsi="Calibri"/>
        <w:color w:val="221f21"/>
        <w:sz w:val="20"/>
        <w:szCs w:val="20"/>
      </w:rPr>
    </w:pPr>
    <w:r w:rsidDel="00000000" w:rsidR="00000000" w:rsidRPr="00000000">
      <w:rPr>
        <w:rtl w:val="0"/>
      </w:rPr>
      <w:t xml:space="preserve">                </w:t>
    </w:r>
    <w:r w:rsidDel="00000000" w:rsidR="00000000" w:rsidRPr="00000000">
      <w:rPr>
        <w:rtl w:val="0"/>
      </w:rPr>
    </w:r>
  </w:p>
  <w:tbl>
    <w:tblPr>
      <w:tblStyle w:val="Table9"/>
      <w:tblpPr w:leftFromText="180" w:rightFromText="180" w:topFromText="0" w:bottomFromText="0" w:vertAnchor="text" w:horzAnchor="text" w:tblpX="977.523193359375" w:tblpY="0"/>
      <w:tblW w:w="185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55"/>
      <w:gridCol w:w="8505"/>
      <w:gridCol w:w="8505"/>
      <w:tblGridChange w:id="0">
        <w:tblGrid>
          <w:gridCol w:w="1555"/>
          <w:gridCol w:w="8505"/>
          <w:gridCol w:w="8505"/>
        </w:tblGrid>
      </w:tblGridChange>
    </w:tblGrid>
    <w:tr>
      <w:trPr>
        <w:cantSplit w:val="0"/>
        <w:trHeight w:val="983" w:hRule="atLeast"/>
        <w:tblHeader w:val="0"/>
      </w:trPr>
      <w:tc>
        <w:tcPr/>
        <w:p w:rsidR="00000000" w:rsidDel="00000000" w:rsidP="00000000" w:rsidRDefault="00000000" w:rsidRPr="00000000" w14:paraId="000000B4">
          <w:pPr>
            <w:spacing w:after="160" w:line="259" w:lineRule="auto"/>
            <w:rPr>
              <w:rFonts w:ascii="Calibri" w:cs="Calibri" w:eastAsia="Calibri" w:hAnsi="Calibri"/>
              <w:color w:val="221f21"/>
            </w:rPr>
          </w:pPr>
          <w:r w:rsidDel="00000000" w:rsidR="00000000" w:rsidRPr="00000000">
            <w:rPr>
              <w:rtl w:val="0"/>
            </w:rPr>
          </w:r>
        </w:p>
      </w:tc>
      <w:tc>
        <w:tcPr/>
        <w:p w:rsidR="00000000" w:rsidDel="00000000" w:rsidP="00000000" w:rsidRDefault="00000000" w:rsidRPr="00000000" w14:paraId="000000B5">
          <w:pPr>
            <w:spacing w:after="160" w:line="259" w:lineRule="auto"/>
            <w:rPr>
              <w:rFonts w:ascii="Calibri" w:cs="Calibri" w:eastAsia="Calibri" w:hAnsi="Calibri"/>
              <w:color w:val="221f21"/>
              <w:sz w:val="28"/>
              <w:szCs w:val="28"/>
            </w:rPr>
          </w:pPr>
          <w:r w:rsidDel="00000000" w:rsidR="00000000" w:rsidRPr="00000000">
            <w:rPr>
              <w:rtl w:val="0"/>
            </w:rPr>
          </w:r>
        </w:p>
        <w:p w:rsidR="00000000" w:rsidDel="00000000" w:rsidP="00000000" w:rsidRDefault="00000000" w:rsidRPr="00000000" w14:paraId="000000B6">
          <w:pPr>
            <w:spacing w:after="160" w:line="259" w:lineRule="auto"/>
            <w:rPr>
              <w:rFonts w:ascii="Calibri" w:cs="Calibri" w:eastAsia="Calibri" w:hAnsi="Calibri"/>
              <w:b w:val="1"/>
              <w:bCs w:val="1"/>
              <w:color w:val="221f21"/>
              <w:sz w:val="28"/>
              <w:szCs w:val="28"/>
            </w:rPr>
          </w:pPr>
          <w:r w:rsidDel="00000000" w:rsidR="00000000" w:rsidRPr="00000000">
            <w:rPr>
              <w:rFonts w:ascii="Calibri" w:cs="Calibri" w:eastAsia="Calibri" w:hAnsi="Calibri"/>
              <w:b w:val="1"/>
              <w:bCs w:val="1"/>
              <w:color w:val="355585"/>
              <w:sz w:val="28"/>
              <w:szCs w:val="28"/>
              <w:rtl w:val="0"/>
            </w:rPr>
            <w:t xml:space="preserve">European Network on Independent Living </w:t>
          </w:r>
          <w:r w:rsidDel="00000000" w:rsidR="00000000" w:rsidRPr="00000000">
            <w:rPr>
              <w:rtl w:val="0"/>
            </w:rPr>
          </w:r>
        </w:p>
      </w:tc>
      <w:tc>
        <w:tcPr/>
        <w:p w:rsidR="00000000" w:rsidDel="00000000" w:rsidP="00000000" w:rsidRDefault="00000000" w:rsidRPr="00000000" w14:paraId="000000B7">
          <w:pPr>
            <w:spacing w:after="160" w:line="259" w:lineRule="auto"/>
            <w:rPr>
              <w:rFonts w:ascii="Calibri" w:cs="Calibri" w:eastAsia="Calibri" w:hAnsi="Calibri"/>
              <w:color w:val="221f21"/>
            </w:rPr>
          </w:pPr>
          <w:r w:rsidDel="00000000" w:rsidR="00000000" w:rsidRPr="00000000">
            <w:rPr>
              <w:rtl w:val="0"/>
            </w:rPr>
          </w:r>
        </w:p>
      </w:tc>
    </w:tr>
  </w:tbl>
  <w:p w:rsidR="00000000" w:rsidDel="00000000" w:rsidP="00000000" w:rsidRDefault="00000000" w:rsidRPr="00000000" w14:paraId="000000B8">
    <w:pPr>
      <w:tabs>
        <w:tab w:val="center" w:leader="none" w:pos="4513"/>
        <w:tab w:val="right" w:leader="none" w:pos="9026"/>
        <w:tab w:val="left" w:leader="none" w:pos="4032"/>
      </w:tabs>
      <w:spacing w:line="240" w:lineRule="auto"/>
      <w:ind w:left="10"/>
      <w:jc w:val="both"/>
      <w:rPr/>
    </w:pPr>
    <w:r w:rsidDel="00000000" w:rsidR="00000000" w:rsidRPr="00000000">
      <w:rPr>
        <w:rFonts w:ascii="Calibri" w:cs="Calibri" w:eastAsia="Calibri" w:hAnsi="Calibri"/>
        <w:color w:val="221f21"/>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704850</wp:posOffset>
          </wp:positionH>
          <wp:positionV relativeFrom="paragraph">
            <wp:posOffset>19050</wp:posOffset>
          </wp:positionV>
          <wp:extent cx="775315" cy="775646"/>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315" cy="7756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enil.eu" TargetMode="External"/><Relationship Id="rId8" Type="http://schemas.openxmlformats.org/officeDocument/2006/relationships/hyperlink" Target="http://www.enil.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publications/reports/2021/09/a-crisis-on-the-horizon_f5739419/306e6993-en.pdf" TargetMode="External"/><Relationship Id="rId2" Type="http://schemas.openxmlformats.org/officeDocument/2006/relationships/hyperlink" Target="https://ec.europa.eu/commission/presscorner/detail/en/ip_11_4" TargetMode="External"/><Relationship Id="rId3"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ec.europa.eu/eurostat/statistics-explained/index.php?title=Disability_statistics_-_poverty_and_income_inequalities" TargetMode="External"/><Relationship Id="rId5" Type="http://schemas.openxmlformats.org/officeDocument/2006/relationships/hyperlink" Target="https://eur-lex.europa.eu/legal-content/EN/TXT/?uri=CELEX%3A52025DC1025&amp;qid=1779808979085" TargetMode="External"/><Relationship Id="rId6" Type="http://schemas.openxmlformats.org/officeDocument/2006/relationships/hyperlink" Target="https://disability.unimelb.edu.au/__data/assets/pdf_file/0019/3522007/Accessible-Housing-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