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FAF3" w14:textId="14CE9C96" w:rsidR="007D63F7" w:rsidRPr="00932034" w:rsidRDefault="00CD4D54" w:rsidP="00932034">
      <w:pPr>
        <w:spacing w:after="0" w:line="276" w:lineRule="auto"/>
        <w:jc w:val="both"/>
        <w:rPr>
          <w:rFonts w:ascii="Calibri" w:hAnsi="Calibri" w:cs="Calibri"/>
          <w:color w:val="355585"/>
          <w:sz w:val="32"/>
          <w:szCs w:val="32"/>
        </w:rPr>
      </w:pPr>
      <w:r w:rsidRPr="00932034">
        <w:rPr>
          <w:rFonts w:ascii="Calibri" w:hAnsi="Calibri" w:cs="Calibri"/>
          <w:color w:val="355585"/>
          <w:sz w:val="32"/>
          <w:szCs w:val="32"/>
        </w:rPr>
        <w:t>E</w:t>
      </w:r>
      <w:r w:rsidR="007B43E1" w:rsidRPr="00932034">
        <w:rPr>
          <w:rFonts w:ascii="Calibri" w:hAnsi="Calibri" w:cs="Calibri"/>
          <w:color w:val="355585"/>
          <w:sz w:val="32"/>
          <w:szCs w:val="32"/>
        </w:rPr>
        <w:t>xclu</w:t>
      </w:r>
      <w:r w:rsidRPr="00932034">
        <w:rPr>
          <w:rFonts w:ascii="Calibri" w:hAnsi="Calibri" w:cs="Calibri"/>
          <w:color w:val="355585"/>
          <w:sz w:val="32"/>
          <w:szCs w:val="32"/>
        </w:rPr>
        <w:t>ding d</w:t>
      </w:r>
      <w:r w:rsidR="007B43E1" w:rsidRPr="00932034">
        <w:rPr>
          <w:rFonts w:ascii="Calibri" w:hAnsi="Calibri" w:cs="Calibri"/>
          <w:color w:val="355585"/>
          <w:sz w:val="32"/>
          <w:szCs w:val="32"/>
        </w:rPr>
        <w:t xml:space="preserve">isabled people </w:t>
      </w:r>
      <w:r w:rsidRPr="00932034">
        <w:rPr>
          <w:rFonts w:ascii="Calibri" w:hAnsi="Calibri" w:cs="Calibri"/>
          <w:color w:val="355585"/>
          <w:sz w:val="32"/>
          <w:szCs w:val="32"/>
        </w:rPr>
        <w:t>from</w:t>
      </w:r>
      <w:r w:rsidR="007B43E1" w:rsidRPr="00932034">
        <w:rPr>
          <w:rFonts w:ascii="Calibri" w:hAnsi="Calibri" w:cs="Calibri"/>
          <w:color w:val="355585"/>
          <w:sz w:val="32"/>
          <w:szCs w:val="32"/>
        </w:rPr>
        <w:t xml:space="preserve"> </w:t>
      </w:r>
      <w:r w:rsidRPr="00932034">
        <w:rPr>
          <w:rFonts w:ascii="Calibri" w:hAnsi="Calibri" w:cs="Calibri"/>
          <w:color w:val="355585"/>
          <w:sz w:val="32"/>
          <w:szCs w:val="32"/>
        </w:rPr>
        <w:t>employment: A luxury we can no longer afford</w:t>
      </w:r>
    </w:p>
    <w:p w14:paraId="3C15EA1D" w14:textId="77777777" w:rsidR="002054E0" w:rsidRDefault="002054E0" w:rsidP="007D63F7">
      <w:pPr>
        <w:spacing w:after="0" w:line="276" w:lineRule="auto"/>
        <w:rPr>
          <w:rFonts w:ascii="Calibri" w:hAnsi="Calibri" w:cs="Calibri"/>
          <w:color w:val="355585"/>
          <w:sz w:val="28"/>
          <w:szCs w:val="28"/>
        </w:rPr>
      </w:pPr>
    </w:p>
    <w:p w14:paraId="15A64378" w14:textId="77777777" w:rsidR="00D80AC3" w:rsidRPr="00D80AC3" w:rsidRDefault="00D80AC3" w:rsidP="00D80AC3">
      <w:pPr>
        <w:spacing w:after="0" w:line="276" w:lineRule="auto"/>
        <w:rPr>
          <w:rFonts w:ascii="Calibri" w:hAnsi="Calibri" w:cs="Calibri"/>
          <w:b/>
          <w:color w:val="E76F35"/>
        </w:rPr>
      </w:pPr>
      <w:r w:rsidRPr="00D80AC3">
        <w:rPr>
          <w:rFonts w:ascii="Calibri" w:hAnsi="Calibri" w:cs="Calibri"/>
          <w:b/>
          <w:color w:val="E76F35"/>
        </w:rPr>
        <w:t>Reaction to the European Commission consultation on the reform of the General Block Exemption Regulation</w:t>
      </w:r>
    </w:p>
    <w:p w14:paraId="52B3B960" w14:textId="77777777" w:rsidR="007B43E1" w:rsidRPr="008B2C98" w:rsidRDefault="007B43E1" w:rsidP="007D63F7">
      <w:pPr>
        <w:spacing w:after="0" w:line="276" w:lineRule="auto"/>
        <w:rPr>
          <w:rFonts w:ascii="Calibri" w:hAnsi="Calibri" w:cs="Calibri"/>
          <w:color w:val="355585"/>
        </w:rPr>
      </w:pPr>
    </w:p>
    <w:p w14:paraId="4C7DFBE4" w14:textId="7B993F6D" w:rsidR="000C6C37" w:rsidRPr="008B2C98" w:rsidRDefault="00474ADA" w:rsidP="000C6C37">
      <w:pPr>
        <w:spacing w:after="0" w:line="276" w:lineRule="auto"/>
        <w:rPr>
          <w:rFonts w:ascii="Calibri" w:hAnsi="Calibri" w:cs="Calibri"/>
        </w:rPr>
      </w:pPr>
      <w:r w:rsidRPr="008B2C98">
        <w:rPr>
          <w:rFonts w:ascii="Calibri" w:hAnsi="Calibri" w:cs="Calibri"/>
        </w:rPr>
        <w:t xml:space="preserve">When it comes to the labour market inclusion of disabled people, the last decade can be referred to as a lost decade. </w:t>
      </w:r>
    </w:p>
    <w:p w14:paraId="49B6E49B" w14:textId="77777777" w:rsidR="00BD5983" w:rsidRDefault="00BD5983" w:rsidP="000C6C37">
      <w:pPr>
        <w:spacing w:after="0" w:line="276" w:lineRule="auto"/>
      </w:pPr>
    </w:p>
    <w:p w14:paraId="5377BDF8" w14:textId="681E9410" w:rsidR="00BD5983" w:rsidRPr="008B2C98" w:rsidRDefault="008B2C98" w:rsidP="008B2C98">
      <w:pPr>
        <w:spacing w:after="0" w:line="276" w:lineRule="auto"/>
        <w:jc w:val="both"/>
        <w:rPr>
          <w:rFonts w:ascii="Calibri" w:hAnsi="Calibri" w:cs="Calibri"/>
          <w:szCs w:val="12"/>
        </w:rPr>
      </w:pPr>
      <w:r w:rsidRPr="008B2C98">
        <w:rPr>
          <w:rFonts w:ascii="Calibri" w:hAnsi="Calibri" w:cs="Calibri"/>
          <w:szCs w:val="12"/>
        </w:rPr>
        <w:t>Between 2010 and 2024 the access of non-disabled people to employment has grown substantially while the access of disabled people has stagnated. In 2010, the employment rate of disabled people stood at 50%, while the employment rate of non-disabled people was at 68%. The Disability Employment Gap stood at 18,8%. In 2024, the employment rate of disabled people was at 51,8%, while the employment rate of non-disabled people stood at 75,8%. The Disability Employment Gap stands at 24%. Inequalities in access to employment in the regular labour market have increased.</w:t>
      </w:r>
    </w:p>
    <w:p w14:paraId="7E94FF74" w14:textId="77777777" w:rsidR="00BE0980" w:rsidRDefault="00BE0980" w:rsidP="00E476EA">
      <w:pPr>
        <w:spacing w:after="0" w:line="276" w:lineRule="auto"/>
        <w:rPr>
          <w:rFonts w:ascii="Arial" w:hAnsi="Arial" w:cs="Arial"/>
        </w:rPr>
      </w:pPr>
    </w:p>
    <w:p w14:paraId="2C11B4A6" w14:textId="77777777" w:rsidR="00D80AC3" w:rsidRDefault="00D80AC3" w:rsidP="00E476EA">
      <w:pPr>
        <w:spacing w:after="0" w:line="276" w:lineRule="auto"/>
        <w:rPr>
          <w:rFonts w:ascii="Arial" w:hAnsi="Arial" w:cs="Arial"/>
        </w:rPr>
      </w:pPr>
    </w:p>
    <w:p w14:paraId="6A981AC8" w14:textId="77777777" w:rsidR="00D80AC3" w:rsidRPr="00D80AC3" w:rsidRDefault="00D80AC3" w:rsidP="00D80AC3">
      <w:pPr>
        <w:spacing w:after="0" w:line="276" w:lineRule="auto"/>
        <w:rPr>
          <w:rFonts w:ascii="Calibri" w:hAnsi="Calibri" w:cs="Calibri"/>
          <w:b/>
          <w:color w:val="E76F35"/>
        </w:rPr>
      </w:pPr>
      <w:r w:rsidRPr="00D80AC3">
        <w:rPr>
          <w:rFonts w:ascii="Calibri" w:hAnsi="Calibri" w:cs="Calibri"/>
          <w:b/>
          <w:color w:val="E76F35"/>
        </w:rPr>
        <w:t>Consequences for the individual and for society</w:t>
      </w:r>
    </w:p>
    <w:p w14:paraId="162D9712" w14:textId="77777777" w:rsidR="005D20F8" w:rsidRDefault="005D20F8" w:rsidP="0022153C">
      <w:pPr>
        <w:spacing w:after="0" w:line="276" w:lineRule="auto"/>
        <w:rPr>
          <w:rFonts w:ascii="Calibri" w:hAnsi="Calibri" w:cs="Calibri"/>
          <w:color w:val="355585"/>
          <w:sz w:val="28"/>
          <w:szCs w:val="28"/>
        </w:rPr>
      </w:pPr>
    </w:p>
    <w:p w14:paraId="68618A64" w14:textId="3BF9AA2F" w:rsidR="00386F95" w:rsidRDefault="00554030" w:rsidP="00D01AE4">
      <w:pPr>
        <w:spacing w:after="0" w:line="276" w:lineRule="auto"/>
        <w:jc w:val="both"/>
        <w:rPr>
          <w:rFonts w:ascii="Calibri" w:hAnsi="Calibri" w:cs="Calibri"/>
        </w:rPr>
      </w:pPr>
      <w:r>
        <w:rPr>
          <w:rFonts w:ascii="Calibri" w:hAnsi="Calibri" w:cs="Calibri"/>
        </w:rPr>
        <w:t xml:space="preserve">The lost decade has consequences for the individual </w:t>
      </w:r>
      <w:r w:rsidR="003439F1">
        <w:rPr>
          <w:rFonts w:ascii="Calibri" w:hAnsi="Calibri" w:cs="Calibri"/>
        </w:rPr>
        <w:t xml:space="preserve">and for society. </w:t>
      </w:r>
      <w:r w:rsidR="00A8167E">
        <w:rPr>
          <w:rFonts w:ascii="Calibri" w:hAnsi="Calibri" w:cs="Calibri"/>
        </w:rPr>
        <w:t xml:space="preserve">Meaningful work is essential for </w:t>
      </w:r>
      <w:r w:rsidR="005C0D92">
        <w:rPr>
          <w:rFonts w:ascii="Calibri" w:hAnsi="Calibri" w:cs="Calibri"/>
        </w:rPr>
        <w:t xml:space="preserve">well-being </w:t>
      </w:r>
      <w:r w:rsidR="000D6143">
        <w:rPr>
          <w:rFonts w:ascii="Calibri" w:hAnsi="Calibri" w:cs="Calibri"/>
        </w:rPr>
        <w:t xml:space="preserve">and a sense of purpose in life. In-access </w:t>
      </w:r>
      <w:r w:rsidR="00583784">
        <w:rPr>
          <w:rFonts w:ascii="Calibri" w:hAnsi="Calibri" w:cs="Calibri"/>
        </w:rPr>
        <w:t xml:space="preserve">to </w:t>
      </w:r>
      <w:r w:rsidR="000D6143">
        <w:rPr>
          <w:rFonts w:ascii="Calibri" w:hAnsi="Calibri" w:cs="Calibri"/>
        </w:rPr>
        <w:t>work cause</w:t>
      </w:r>
      <w:r w:rsidR="00583784">
        <w:rPr>
          <w:rFonts w:ascii="Calibri" w:hAnsi="Calibri" w:cs="Calibri"/>
        </w:rPr>
        <w:t>s</w:t>
      </w:r>
      <w:r w:rsidR="000D6143">
        <w:rPr>
          <w:rFonts w:ascii="Calibri" w:hAnsi="Calibri" w:cs="Calibri"/>
        </w:rPr>
        <w:t xml:space="preserve"> a feeling of </w:t>
      </w:r>
      <w:r w:rsidR="00770576">
        <w:rPr>
          <w:rFonts w:ascii="Calibri" w:hAnsi="Calibri" w:cs="Calibri"/>
        </w:rPr>
        <w:t>isolation</w:t>
      </w:r>
      <w:r w:rsidR="00583784">
        <w:rPr>
          <w:rFonts w:ascii="Calibri" w:hAnsi="Calibri" w:cs="Calibri"/>
        </w:rPr>
        <w:t xml:space="preserve">. </w:t>
      </w:r>
    </w:p>
    <w:p w14:paraId="208838BA" w14:textId="77777777" w:rsidR="00DD22A8" w:rsidRDefault="00DD22A8" w:rsidP="00D01AE4">
      <w:pPr>
        <w:spacing w:after="0" w:line="276" w:lineRule="auto"/>
        <w:jc w:val="both"/>
        <w:rPr>
          <w:rFonts w:ascii="Calibri" w:hAnsi="Calibri" w:cs="Calibri"/>
        </w:rPr>
      </w:pPr>
    </w:p>
    <w:p w14:paraId="64206F10" w14:textId="1E9EB781" w:rsidR="00DD22A8" w:rsidRDefault="00DD22A8" w:rsidP="00D01AE4">
      <w:pPr>
        <w:spacing w:after="0" w:line="276" w:lineRule="auto"/>
        <w:jc w:val="both"/>
        <w:rPr>
          <w:rFonts w:ascii="Calibri" w:hAnsi="Calibri" w:cs="Calibri"/>
        </w:rPr>
      </w:pPr>
      <w:r>
        <w:rPr>
          <w:rFonts w:ascii="Calibri" w:hAnsi="Calibri" w:cs="Calibri"/>
        </w:rPr>
        <w:t xml:space="preserve">More crucially </w:t>
      </w:r>
      <w:r w:rsidR="00CF5D7E">
        <w:rPr>
          <w:rFonts w:ascii="Calibri" w:hAnsi="Calibri" w:cs="Calibri"/>
        </w:rPr>
        <w:t xml:space="preserve">being barred from access to employment </w:t>
      </w:r>
      <w:r w:rsidR="00A53BFF">
        <w:rPr>
          <w:rFonts w:ascii="Calibri" w:hAnsi="Calibri" w:cs="Calibri"/>
        </w:rPr>
        <w:t xml:space="preserve">means less access to income and thus higher </w:t>
      </w:r>
      <w:r w:rsidR="00C039E6">
        <w:rPr>
          <w:rFonts w:ascii="Calibri" w:hAnsi="Calibri" w:cs="Calibri"/>
        </w:rPr>
        <w:t xml:space="preserve">poverty and higher dependence on social benefits: </w:t>
      </w:r>
    </w:p>
    <w:p w14:paraId="7C28FE49" w14:textId="77777777" w:rsidR="00C039E6" w:rsidRDefault="00C039E6" w:rsidP="00D01AE4">
      <w:pPr>
        <w:spacing w:after="0" w:line="276" w:lineRule="auto"/>
        <w:jc w:val="both"/>
        <w:rPr>
          <w:rFonts w:ascii="Calibri" w:hAnsi="Calibri" w:cs="Calibri"/>
        </w:rPr>
      </w:pPr>
    </w:p>
    <w:p w14:paraId="71508697" w14:textId="427D9735" w:rsidR="00422674" w:rsidRDefault="00422674" w:rsidP="00422674">
      <w:pPr>
        <w:pStyle w:val="Listenabsatz"/>
        <w:numPr>
          <w:ilvl w:val="0"/>
          <w:numId w:val="2"/>
        </w:numPr>
        <w:spacing w:line="276" w:lineRule="auto"/>
        <w:rPr>
          <w:sz w:val="24"/>
        </w:rPr>
      </w:pPr>
      <w:r w:rsidRPr="00867483">
        <w:rPr>
          <w:sz w:val="24"/>
        </w:rPr>
        <w:t>According to Eurostat, in 2024 28,8% were at risk of poverty, compared to 17.9% of non-disabled people</w:t>
      </w:r>
      <w:r w:rsidR="00D41C2B">
        <w:rPr>
          <w:sz w:val="24"/>
        </w:rPr>
        <w:t>.</w:t>
      </w:r>
      <w:r w:rsidRPr="00867483">
        <w:rPr>
          <w:rStyle w:val="Funotenzeichen"/>
          <w:sz w:val="24"/>
        </w:rPr>
        <w:footnoteReference w:id="1"/>
      </w:r>
    </w:p>
    <w:p w14:paraId="26C596C0" w14:textId="77777777" w:rsidR="00422674" w:rsidRPr="00867483" w:rsidRDefault="00422674" w:rsidP="00422674">
      <w:pPr>
        <w:pStyle w:val="Listenabsatz"/>
        <w:spacing w:line="276" w:lineRule="auto"/>
        <w:ind w:firstLine="0"/>
        <w:rPr>
          <w:sz w:val="24"/>
        </w:rPr>
      </w:pPr>
    </w:p>
    <w:p w14:paraId="3948350F" w14:textId="77777777" w:rsidR="00422674" w:rsidRPr="00867483" w:rsidRDefault="00422674" w:rsidP="00422674">
      <w:pPr>
        <w:pStyle w:val="Listenabsatz"/>
        <w:numPr>
          <w:ilvl w:val="0"/>
          <w:numId w:val="2"/>
        </w:numPr>
        <w:spacing w:line="276" w:lineRule="auto"/>
        <w:rPr>
          <w:sz w:val="24"/>
        </w:rPr>
      </w:pPr>
      <w:r w:rsidRPr="00867483">
        <w:rPr>
          <w:sz w:val="24"/>
        </w:rPr>
        <w:t>In 2024, 68,2% of disabled people were at risk of poverty before social transfers and 20,7% after.</w:t>
      </w:r>
      <w:r w:rsidRPr="00867483">
        <w:rPr>
          <w:rStyle w:val="Funotenzeichen"/>
          <w:sz w:val="24"/>
        </w:rPr>
        <w:footnoteReference w:id="2"/>
      </w:r>
      <w:r w:rsidRPr="00867483">
        <w:rPr>
          <w:sz w:val="24"/>
        </w:rPr>
        <w:t xml:space="preserve"> </w:t>
      </w:r>
    </w:p>
    <w:p w14:paraId="782B54F9" w14:textId="77777777" w:rsidR="00DD64BB" w:rsidRDefault="00DD64BB" w:rsidP="0022153C">
      <w:pPr>
        <w:spacing w:after="0" w:line="276" w:lineRule="auto"/>
        <w:rPr>
          <w:rFonts w:ascii="Calibri" w:hAnsi="Calibri" w:cs="Calibri"/>
        </w:rPr>
      </w:pPr>
    </w:p>
    <w:p w14:paraId="04E58BE9" w14:textId="075AF983" w:rsidR="00DD64BB" w:rsidRDefault="00DD64BB" w:rsidP="00654AC0">
      <w:pPr>
        <w:spacing w:after="0" w:line="276" w:lineRule="auto"/>
        <w:jc w:val="both"/>
        <w:rPr>
          <w:rFonts w:ascii="Calibri" w:hAnsi="Calibri" w:cs="Calibri"/>
        </w:rPr>
      </w:pPr>
      <w:r>
        <w:rPr>
          <w:rFonts w:ascii="Calibri" w:hAnsi="Calibri" w:cs="Calibri"/>
        </w:rPr>
        <w:lastRenderedPageBreak/>
        <w:t>Disabled people have the right to employment in the open labour market as defined in article 2</w:t>
      </w:r>
      <w:r w:rsidR="006938F7">
        <w:rPr>
          <w:rFonts w:ascii="Calibri" w:hAnsi="Calibri" w:cs="Calibri"/>
        </w:rPr>
        <w:t>7</w:t>
      </w:r>
      <w:r>
        <w:rPr>
          <w:rFonts w:ascii="Calibri" w:hAnsi="Calibri" w:cs="Calibri"/>
        </w:rPr>
        <w:t xml:space="preserve"> of the United Nations Convention on the Rights of Persons with Disabilities: </w:t>
      </w:r>
    </w:p>
    <w:p w14:paraId="2ACC2AFC" w14:textId="77777777" w:rsidR="000D0D43" w:rsidRDefault="000D0D43" w:rsidP="00A8208D">
      <w:pPr>
        <w:spacing w:after="0" w:line="276" w:lineRule="auto"/>
        <w:rPr>
          <w:rFonts w:ascii="Calibri" w:hAnsi="Calibri" w:cs="Calibri"/>
        </w:rPr>
      </w:pPr>
    </w:p>
    <w:p w14:paraId="16EA2B2E" w14:textId="784165AE" w:rsidR="00A8208D" w:rsidRDefault="000D0D43" w:rsidP="000D0D43">
      <w:pPr>
        <w:spacing w:after="0" w:line="276" w:lineRule="auto"/>
        <w:jc w:val="both"/>
        <w:rPr>
          <w:rFonts w:ascii="Calibri" w:hAnsi="Calibri" w:cs="Calibri"/>
          <w:i/>
          <w:iCs/>
          <w:lang w:val="de-BE"/>
        </w:rPr>
      </w:pPr>
      <w:r w:rsidRPr="000D0D43">
        <w:rPr>
          <w:rFonts w:ascii="Calibri" w:hAnsi="Calibri" w:cs="Calibri"/>
          <w:i/>
          <w:iCs/>
          <w:lang w:val="en-US"/>
        </w:rPr>
        <w:t xml:space="preserve">States Parties recognize the right of persons with disabilities to work, on an equal basis with others; this includes the right to the opportunity to gain a living by work freely chosen or accepted in a </w:t>
      </w:r>
      <w:proofErr w:type="spellStart"/>
      <w:r w:rsidRPr="000D0D43">
        <w:rPr>
          <w:rFonts w:ascii="Calibri" w:hAnsi="Calibri" w:cs="Calibri"/>
          <w:i/>
          <w:iCs/>
          <w:lang w:val="en-US"/>
        </w:rPr>
        <w:t>labour</w:t>
      </w:r>
      <w:proofErr w:type="spellEnd"/>
      <w:r w:rsidRPr="000D0D43">
        <w:rPr>
          <w:rFonts w:ascii="Calibri" w:hAnsi="Calibri" w:cs="Calibri"/>
          <w:i/>
          <w:iCs/>
          <w:lang w:val="en-US"/>
        </w:rPr>
        <w:t xml:space="preserve"> market and work environment that is open, inclusive and accessible to persons with disabilities.</w:t>
      </w:r>
      <w:r w:rsidR="00A8208D" w:rsidRPr="00A8208D">
        <w:rPr>
          <w:rFonts w:ascii="Calibri" w:hAnsi="Calibri" w:cs="Calibri"/>
          <w:i/>
          <w:iCs/>
          <w:lang w:val="de-BE"/>
        </w:rPr>
        <w:t> </w:t>
      </w:r>
    </w:p>
    <w:p w14:paraId="777B644F" w14:textId="77777777" w:rsidR="008566FD" w:rsidRDefault="008566FD" w:rsidP="000D0D43">
      <w:pPr>
        <w:spacing w:after="0" w:line="276" w:lineRule="auto"/>
        <w:jc w:val="both"/>
        <w:rPr>
          <w:rFonts w:ascii="Calibri" w:hAnsi="Calibri" w:cs="Calibri"/>
          <w:i/>
          <w:iCs/>
          <w:lang w:val="de-BE"/>
        </w:rPr>
      </w:pPr>
    </w:p>
    <w:p w14:paraId="2683D60B" w14:textId="5B6500E4" w:rsidR="008566FD" w:rsidRPr="00A8208D" w:rsidRDefault="008E5D09" w:rsidP="000D0D43">
      <w:pPr>
        <w:spacing w:after="0" w:line="276" w:lineRule="auto"/>
        <w:jc w:val="both"/>
        <w:rPr>
          <w:rFonts w:ascii="Calibri" w:hAnsi="Calibri" w:cs="Calibri"/>
          <w:lang w:val="de-BE"/>
        </w:rPr>
      </w:pPr>
      <w:r>
        <w:rPr>
          <w:rFonts w:ascii="Calibri" w:hAnsi="Calibri" w:cs="Calibri"/>
          <w:lang w:val="de-BE"/>
        </w:rPr>
        <w:t xml:space="preserve">The Independent Living Movement </w:t>
      </w:r>
      <w:proofErr w:type="spellStart"/>
      <w:r>
        <w:rPr>
          <w:rFonts w:ascii="Calibri" w:hAnsi="Calibri" w:cs="Calibri"/>
          <w:lang w:val="de-BE"/>
        </w:rPr>
        <w:t>has</w:t>
      </w:r>
      <w:proofErr w:type="spellEnd"/>
      <w:r>
        <w:rPr>
          <w:rFonts w:ascii="Calibri" w:hAnsi="Calibri" w:cs="Calibri"/>
          <w:lang w:val="de-BE"/>
        </w:rPr>
        <w:t xml:space="preserve"> </w:t>
      </w:r>
      <w:proofErr w:type="spellStart"/>
      <w:r>
        <w:rPr>
          <w:rFonts w:ascii="Calibri" w:hAnsi="Calibri" w:cs="Calibri"/>
          <w:lang w:val="de-BE"/>
        </w:rPr>
        <w:t>defined</w:t>
      </w:r>
      <w:proofErr w:type="spellEnd"/>
      <w:r>
        <w:rPr>
          <w:rFonts w:ascii="Calibri" w:hAnsi="Calibri" w:cs="Calibri"/>
          <w:lang w:val="de-BE"/>
        </w:rPr>
        <w:t xml:space="preserve"> </w:t>
      </w:r>
      <w:proofErr w:type="spellStart"/>
      <w:r>
        <w:rPr>
          <w:rFonts w:ascii="Calibri" w:hAnsi="Calibri" w:cs="Calibri"/>
          <w:lang w:val="de-BE"/>
        </w:rPr>
        <w:t>access</w:t>
      </w:r>
      <w:proofErr w:type="spellEnd"/>
      <w:r>
        <w:rPr>
          <w:rFonts w:ascii="Calibri" w:hAnsi="Calibri" w:cs="Calibri"/>
          <w:lang w:val="de-BE"/>
        </w:rPr>
        <w:t xml:space="preserve"> </w:t>
      </w:r>
      <w:proofErr w:type="spellStart"/>
      <w:r>
        <w:rPr>
          <w:rFonts w:ascii="Calibri" w:hAnsi="Calibri" w:cs="Calibri"/>
          <w:lang w:val="de-BE"/>
        </w:rPr>
        <w:t>to</w:t>
      </w:r>
      <w:proofErr w:type="spellEnd"/>
      <w:r>
        <w:rPr>
          <w:rFonts w:ascii="Calibri" w:hAnsi="Calibri" w:cs="Calibri"/>
          <w:lang w:val="de-BE"/>
        </w:rPr>
        <w:t xml:space="preserve"> </w:t>
      </w:r>
      <w:proofErr w:type="spellStart"/>
      <w:r>
        <w:rPr>
          <w:rFonts w:ascii="Calibri" w:hAnsi="Calibri" w:cs="Calibri"/>
          <w:lang w:val="de-BE"/>
        </w:rPr>
        <w:t>employment</w:t>
      </w:r>
      <w:proofErr w:type="spellEnd"/>
      <w:r>
        <w:rPr>
          <w:rFonts w:ascii="Calibri" w:hAnsi="Calibri" w:cs="Calibri"/>
          <w:lang w:val="de-BE"/>
        </w:rPr>
        <w:t xml:space="preserve"> and </w:t>
      </w:r>
      <w:proofErr w:type="spellStart"/>
      <w:r>
        <w:rPr>
          <w:rFonts w:ascii="Calibri" w:hAnsi="Calibri" w:cs="Calibri"/>
          <w:lang w:val="de-BE"/>
        </w:rPr>
        <w:t>income</w:t>
      </w:r>
      <w:proofErr w:type="spellEnd"/>
      <w:r>
        <w:rPr>
          <w:rFonts w:ascii="Calibri" w:hAnsi="Calibri" w:cs="Calibri"/>
          <w:lang w:val="de-BE"/>
        </w:rPr>
        <w:t xml:space="preserve"> </w:t>
      </w:r>
      <w:proofErr w:type="spellStart"/>
      <w:r>
        <w:rPr>
          <w:rFonts w:ascii="Calibri" w:hAnsi="Calibri" w:cs="Calibri"/>
          <w:lang w:val="de-BE"/>
        </w:rPr>
        <w:t>as</w:t>
      </w:r>
      <w:proofErr w:type="spellEnd"/>
      <w:r>
        <w:rPr>
          <w:rFonts w:ascii="Calibri" w:hAnsi="Calibri" w:cs="Calibri"/>
          <w:lang w:val="de-BE"/>
        </w:rPr>
        <w:t xml:space="preserve"> </w:t>
      </w:r>
      <w:proofErr w:type="spellStart"/>
      <w:r w:rsidR="0028644D">
        <w:rPr>
          <w:rFonts w:ascii="Calibri" w:hAnsi="Calibri" w:cs="Calibri"/>
          <w:lang w:val="de-BE"/>
        </w:rPr>
        <w:t>principles</w:t>
      </w:r>
      <w:proofErr w:type="spellEnd"/>
      <w:r w:rsidR="0028644D">
        <w:rPr>
          <w:rFonts w:ascii="Calibri" w:hAnsi="Calibri" w:cs="Calibri"/>
          <w:lang w:val="de-BE"/>
        </w:rPr>
        <w:t xml:space="preserve"> </w:t>
      </w:r>
      <w:proofErr w:type="spellStart"/>
      <w:r w:rsidR="0028644D">
        <w:rPr>
          <w:rFonts w:ascii="Calibri" w:hAnsi="Calibri" w:cs="Calibri"/>
          <w:lang w:val="de-BE"/>
        </w:rPr>
        <w:t>of</w:t>
      </w:r>
      <w:proofErr w:type="spellEnd"/>
      <w:r w:rsidR="0028644D">
        <w:rPr>
          <w:rFonts w:ascii="Calibri" w:hAnsi="Calibri" w:cs="Calibri"/>
          <w:lang w:val="de-BE"/>
        </w:rPr>
        <w:t xml:space="preserve"> </w:t>
      </w:r>
      <w:proofErr w:type="spellStart"/>
      <w:r w:rsidR="0028644D">
        <w:rPr>
          <w:rFonts w:ascii="Calibri" w:hAnsi="Calibri" w:cs="Calibri"/>
          <w:lang w:val="de-BE"/>
        </w:rPr>
        <w:t>the</w:t>
      </w:r>
      <w:proofErr w:type="spellEnd"/>
      <w:r w:rsidR="0028644D">
        <w:rPr>
          <w:rFonts w:ascii="Calibri" w:hAnsi="Calibri" w:cs="Calibri"/>
          <w:lang w:val="de-BE"/>
        </w:rPr>
        <w:t xml:space="preserve"> 18 </w:t>
      </w:r>
      <w:proofErr w:type="spellStart"/>
      <w:r w:rsidR="0028644D">
        <w:rPr>
          <w:rFonts w:ascii="Calibri" w:hAnsi="Calibri" w:cs="Calibri"/>
          <w:lang w:val="de-BE"/>
        </w:rPr>
        <w:t>pillars</w:t>
      </w:r>
      <w:proofErr w:type="spellEnd"/>
      <w:r w:rsidR="0028644D">
        <w:rPr>
          <w:rFonts w:ascii="Calibri" w:hAnsi="Calibri" w:cs="Calibri"/>
          <w:lang w:val="de-BE"/>
        </w:rPr>
        <w:t xml:space="preserve"> on Independent Living.</w:t>
      </w:r>
      <w:r w:rsidR="0028644D">
        <w:rPr>
          <w:rStyle w:val="Funotenzeichen"/>
          <w:rFonts w:ascii="Calibri" w:hAnsi="Calibri" w:cs="Calibri"/>
          <w:lang w:val="de-BE"/>
        </w:rPr>
        <w:footnoteReference w:id="3"/>
      </w:r>
    </w:p>
    <w:p w14:paraId="2442662E" w14:textId="77777777" w:rsidR="00386F95" w:rsidRDefault="00386F95" w:rsidP="0022153C">
      <w:pPr>
        <w:spacing w:after="0" w:line="276" w:lineRule="auto"/>
        <w:rPr>
          <w:rFonts w:ascii="Calibri" w:hAnsi="Calibri" w:cs="Calibri"/>
        </w:rPr>
      </w:pPr>
    </w:p>
    <w:p w14:paraId="2390F78E" w14:textId="1BA24AD1" w:rsidR="00B42D2E" w:rsidRPr="00886A00" w:rsidRDefault="003316A8" w:rsidP="0022153C">
      <w:pPr>
        <w:spacing w:after="0" w:line="276" w:lineRule="auto"/>
        <w:rPr>
          <w:rFonts w:ascii="Calibri" w:hAnsi="Calibri" w:cs="Calibri"/>
        </w:rPr>
      </w:pPr>
      <w:r>
        <w:rPr>
          <w:rFonts w:ascii="Calibri" w:hAnsi="Calibri" w:cs="Calibri"/>
        </w:rPr>
        <w:t xml:space="preserve">Having people live in poverty </w:t>
      </w:r>
      <w:r w:rsidR="00F20835">
        <w:rPr>
          <w:rFonts w:ascii="Calibri" w:hAnsi="Calibri" w:cs="Calibri"/>
        </w:rPr>
        <w:t xml:space="preserve">hurts the individuals affected. It also produces costs for public finances. </w:t>
      </w:r>
      <w:r w:rsidR="004F36CD">
        <w:rPr>
          <w:rFonts w:ascii="Calibri" w:hAnsi="Calibri" w:cs="Calibri"/>
        </w:rPr>
        <w:t xml:space="preserve">The </w:t>
      </w:r>
      <w:r w:rsidR="008665EA">
        <w:rPr>
          <w:rFonts w:ascii="Calibri" w:hAnsi="Calibri" w:cs="Calibri"/>
        </w:rPr>
        <w:t>high dependence of disabled peo</w:t>
      </w:r>
      <w:r w:rsidR="00566DC7">
        <w:rPr>
          <w:rFonts w:ascii="Calibri" w:hAnsi="Calibri" w:cs="Calibri"/>
        </w:rPr>
        <w:t xml:space="preserve">ple on social transfers comes against a </w:t>
      </w:r>
      <w:r w:rsidR="00433949">
        <w:rPr>
          <w:rFonts w:ascii="Calibri" w:hAnsi="Calibri" w:cs="Calibri"/>
        </w:rPr>
        <w:t xml:space="preserve">backdrop of increasing </w:t>
      </w:r>
      <w:r w:rsidR="007B512C">
        <w:rPr>
          <w:rFonts w:ascii="Calibri" w:hAnsi="Calibri" w:cs="Calibri"/>
        </w:rPr>
        <w:t xml:space="preserve">expenses for social protection. </w:t>
      </w:r>
      <w:r w:rsidR="00F20835" w:rsidRPr="007B512C">
        <w:rPr>
          <w:rFonts w:ascii="Calibri" w:hAnsi="Calibri" w:cs="Calibri"/>
        </w:rPr>
        <w:t>According to Eurostat, between 2015 and 2024, the cost of social protection in the EU has increased from EUR 3.485 bn to EUR 4.801 bn.</w:t>
      </w:r>
      <w:r w:rsidR="00F20835" w:rsidRPr="007B512C">
        <w:rPr>
          <w:rStyle w:val="Funotenzeichen"/>
          <w:rFonts w:ascii="Calibri" w:hAnsi="Calibri" w:cs="Calibri"/>
        </w:rPr>
        <w:footnoteReference w:id="4"/>
      </w:r>
    </w:p>
    <w:p w14:paraId="601C06B8" w14:textId="77777777" w:rsidR="00033172" w:rsidRPr="00033172" w:rsidRDefault="00033172" w:rsidP="0022153C">
      <w:pPr>
        <w:spacing w:after="0" w:line="276" w:lineRule="auto"/>
        <w:rPr>
          <w:rFonts w:ascii="Calibri" w:hAnsi="Calibri" w:cs="Calibri"/>
          <w:color w:val="355585"/>
        </w:rPr>
      </w:pPr>
    </w:p>
    <w:p w14:paraId="43A774A8" w14:textId="59184E58" w:rsidR="0072609B" w:rsidRPr="0072609B" w:rsidRDefault="00BE6B7B" w:rsidP="00BE6B7B">
      <w:pPr>
        <w:spacing w:after="0" w:line="276" w:lineRule="auto"/>
        <w:jc w:val="both"/>
        <w:rPr>
          <w:rFonts w:ascii="Calibri" w:hAnsi="Calibri" w:cs="Calibri"/>
        </w:rPr>
      </w:pPr>
      <w:r>
        <w:rPr>
          <w:rFonts w:ascii="Calibri" w:hAnsi="Calibri" w:cs="Calibri"/>
        </w:rPr>
        <w:t xml:space="preserve">Europe is going through a period of weak economic growth. One of the causes </w:t>
      </w:r>
      <w:r w:rsidR="00D77CAB">
        <w:rPr>
          <w:rFonts w:ascii="Calibri" w:hAnsi="Calibri" w:cs="Calibri"/>
        </w:rPr>
        <w:t xml:space="preserve">are skills shortages in certain sectors. </w:t>
      </w:r>
      <w:r w:rsidR="0072609B" w:rsidRPr="0072609B">
        <w:rPr>
          <w:rFonts w:ascii="Calibri" w:hAnsi="Calibri" w:cs="Calibri"/>
        </w:rPr>
        <w:t>In the EU, ten occupations report vacancy rates between 5%-8,4%.</w:t>
      </w:r>
      <w:r w:rsidR="0072609B" w:rsidRPr="0072609B">
        <w:rPr>
          <w:rFonts w:ascii="Calibri" w:hAnsi="Calibri" w:cs="Calibri"/>
          <w:vertAlign w:val="superscript"/>
        </w:rPr>
        <w:footnoteReference w:id="5"/>
      </w:r>
      <w:r w:rsidR="00D77CAB">
        <w:rPr>
          <w:rFonts w:ascii="Calibri" w:hAnsi="Calibri" w:cs="Calibri"/>
        </w:rPr>
        <w:t xml:space="preserve"> </w:t>
      </w:r>
    </w:p>
    <w:p w14:paraId="5016ABA9" w14:textId="1BAD8535" w:rsidR="008F0D8A" w:rsidRDefault="008F0D8A" w:rsidP="00E476EA">
      <w:pPr>
        <w:spacing w:after="0" w:line="276" w:lineRule="auto"/>
        <w:rPr>
          <w:rFonts w:ascii="Arial" w:hAnsi="Arial" w:cs="Arial"/>
        </w:rPr>
      </w:pPr>
    </w:p>
    <w:p w14:paraId="65C6385C" w14:textId="77777777" w:rsidR="00ED3F49" w:rsidRDefault="005B7C95" w:rsidP="00ED3F49">
      <w:pPr>
        <w:spacing w:after="0" w:line="276" w:lineRule="auto"/>
        <w:jc w:val="both"/>
        <w:rPr>
          <w:rFonts w:ascii="Calibri" w:hAnsi="Calibri" w:cs="Calibri"/>
        </w:rPr>
      </w:pPr>
      <w:r>
        <w:rPr>
          <w:rFonts w:ascii="Calibri" w:hAnsi="Calibri" w:cs="Calibri"/>
        </w:rPr>
        <w:t>The growing costs</w:t>
      </w:r>
      <w:r w:rsidR="007073A2">
        <w:rPr>
          <w:rFonts w:ascii="Calibri" w:hAnsi="Calibri" w:cs="Calibri"/>
        </w:rPr>
        <w:t xml:space="preserve"> of social protection</w:t>
      </w:r>
      <w:r w:rsidR="004E6E3B">
        <w:rPr>
          <w:rFonts w:ascii="Calibri" w:hAnsi="Calibri" w:cs="Calibri"/>
        </w:rPr>
        <w:t xml:space="preserve"> and weak economic growth are </w:t>
      </w:r>
      <w:r w:rsidR="007073A2">
        <w:rPr>
          <w:rFonts w:ascii="Calibri" w:hAnsi="Calibri" w:cs="Calibri"/>
        </w:rPr>
        <w:t>a challenge for the public purse</w:t>
      </w:r>
      <w:r w:rsidR="0001002C">
        <w:rPr>
          <w:rFonts w:ascii="Calibri" w:hAnsi="Calibri" w:cs="Calibri"/>
        </w:rPr>
        <w:t>, contributing to budget deficits</w:t>
      </w:r>
      <w:r w:rsidR="004E6E3B">
        <w:rPr>
          <w:rFonts w:ascii="Calibri" w:hAnsi="Calibri" w:cs="Calibri"/>
        </w:rPr>
        <w:t xml:space="preserve">, austerity </w:t>
      </w:r>
      <w:r w:rsidR="00C661DB">
        <w:rPr>
          <w:rFonts w:ascii="Calibri" w:hAnsi="Calibri" w:cs="Calibri"/>
        </w:rPr>
        <w:t>and cuts to public services. These developments cause frustration in the population.</w:t>
      </w:r>
    </w:p>
    <w:p w14:paraId="75484D73" w14:textId="77777777" w:rsidR="00ED3F49" w:rsidRDefault="00ED3F49" w:rsidP="00ED3F49">
      <w:pPr>
        <w:spacing w:after="0" w:line="276" w:lineRule="auto"/>
        <w:jc w:val="both"/>
        <w:rPr>
          <w:rFonts w:ascii="Calibri" w:hAnsi="Calibri" w:cs="Calibri"/>
        </w:rPr>
      </w:pPr>
    </w:p>
    <w:p w14:paraId="463E0FC2" w14:textId="5A34712C" w:rsidR="00CD4D54" w:rsidRDefault="00ED3F49" w:rsidP="00ED3F49">
      <w:pPr>
        <w:spacing w:after="0" w:line="276" w:lineRule="auto"/>
        <w:jc w:val="both"/>
        <w:rPr>
          <w:rFonts w:ascii="Calibri" w:hAnsi="Calibri" w:cs="Calibri"/>
        </w:rPr>
      </w:pPr>
      <w:r>
        <w:rPr>
          <w:rFonts w:ascii="Calibri" w:hAnsi="Calibri" w:cs="Calibri"/>
        </w:rPr>
        <w:t xml:space="preserve">Against this backdrop, excluding half of disabled people </w:t>
      </w:r>
      <w:r w:rsidR="00DE53CC">
        <w:rPr>
          <w:rFonts w:ascii="Calibri" w:hAnsi="Calibri" w:cs="Calibri"/>
        </w:rPr>
        <w:t>who are of working age from the labour market is a luxury we can no longer afford.</w:t>
      </w:r>
      <w:r w:rsidR="004E6E3B">
        <w:rPr>
          <w:rFonts w:ascii="Calibri" w:hAnsi="Calibri" w:cs="Calibri"/>
        </w:rPr>
        <w:t xml:space="preserve"> </w:t>
      </w:r>
    </w:p>
    <w:p w14:paraId="74CF1C75" w14:textId="77777777" w:rsidR="00CD4D54" w:rsidRDefault="00CD4D54" w:rsidP="00ED3F49">
      <w:pPr>
        <w:spacing w:after="0" w:line="276" w:lineRule="auto"/>
        <w:jc w:val="both"/>
        <w:rPr>
          <w:rFonts w:ascii="Calibri" w:hAnsi="Calibri" w:cs="Calibri"/>
        </w:rPr>
      </w:pPr>
    </w:p>
    <w:p w14:paraId="006D6D6F" w14:textId="7929F761" w:rsidR="00CD4D54" w:rsidRPr="00365D16" w:rsidRDefault="008566FD" w:rsidP="00ED3F49">
      <w:pPr>
        <w:spacing w:after="0" w:line="276" w:lineRule="auto"/>
        <w:jc w:val="both"/>
        <w:rPr>
          <w:rFonts w:ascii="Calibri" w:hAnsi="Calibri" w:cs="Calibri"/>
        </w:rPr>
      </w:pPr>
      <w:r>
        <w:rPr>
          <w:rFonts w:ascii="Calibri" w:hAnsi="Calibri" w:cs="Calibri"/>
        </w:rPr>
        <w:t xml:space="preserve">Lack of access from income is also </w:t>
      </w:r>
      <w:r w:rsidR="00C4195E">
        <w:rPr>
          <w:rFonts w:ascii="Calibri" w:hAnsi="Calibri" w:cs="Calibri"/>
        </w:rPr>
        <w:t xml:space="preserve">a cause of institutionalisation. </w:t>
      </w:r>
      <w:r w:rsidR="003A3E9F" w:rsidRPr="003A3E9F">
        <w:rPr>
          <w:rFonts w:ascii="Calibri" w:hAnsi="Calibri" w:cs="Calibri"/>
        </w:rPr>
        <w:t xml:space="preserve">According to </w:t>
      </w:r>
      <w:proofErr w:type="spellStart"/>
      <w:r w:rsidR="003A3E9F" w:rsidRPr="003A3E9F">
        <w:rPr>
          <w:rFonts w:ascii="Calibri" w:hAnsi="Calibri" w:cs="Calibri"/>
        </w:rPr>
        <w:t>Eurofound</w:t>
      </w:r>
      <w:proofErr w:type="spellEnd"/>
      <w:r w:rsidR="003A3E9F" w:rsidRPr="003A3E9F">
        <w:rPr>
          <w:rFonts w:ascii="Calibri" w:hAnsi="Calibri" w:cs="Calibri"/>
        </w:rPr>
        <w:t>, the number of disabled people confined to institutions has increased by 29% in the last decade</w:t>
      </w:r>
      <w:r w:rsidR="003A3E9F" w:rsidRPr="003A3E9F">
        <w:rPr>
          <w:rFonts w:ascii="Calibri" w:hAnsi="Calibri" w:cs="Calibri"/>
          <w:vertAlign w:val="superscript"/>
        </w:rPr>
        <w:footnoteReference w:id="6"/>
      </w:r>
      <w:r w:rsidR="003A3E9F" w:rsidRPr="003A3E9F">
        <w:rPr>
          <w:rFonts w:ascii="Calibri" w:hAnsi="Calibri" w:cs="Calibri"/>
        </w:rPr>
        <w:t>.</w:t>
      </w:r>
      <w:r w:rsidR="003A3E9F">
        <w:rPr>
          <w:rFonts w:ascii="Calibri" w:hAnsi="Calibri" w:cs="Calibri"/>
        </w:rPr>
        <w:t xml:space="preserve"> </w:t>
      </w:r>
      <w:r w:rsidR="009F76D5">
        <w:rPr>
          <w:rFonts w:ascii="Calibri" w:hAnsi="Calibri" w:cs="Calibri"/>
        </w:rPr>
        <w:t xml:space="preserve">Institutions are causing enormous costs to public budgets. </w:t>
      </w:r>
      <w:r w:rsidR="003A3E9F" w:rsidRPr="003A3E9F">
        <w:rPr>
          <w:rFonts w:ascii="Calibri" w:hAnsi="Calibri" w:cs="Calibri"/>
        </w:rPr>
        <w:t xml:space="preserve">According to the OECD, EU-countries are spending up to 4,4% of their GDP on long-term care. Nursing homes can account for </w:t>
      </w:r>
      <w:r w:rsidR="003A3E9F" w:rsidRPr="003A3E9F">
        <w:rPr>
          <w:rFonts w:ascii="Calibri" w:hAnsi="Calibri" w:cs="Calibri"/>
        </w:rPr>
        <w:lastRenderedPageBreak/>
        <w:t>80% of these expenses.</w:t>
      </w:r>
      <w:r w:rsidR="003A3E9F" w:rsidRPr="003A3E9F">
        <w:rPr>
          <w:rFonts w:ascii="Calibri" w:hAnsi="Calibri" w:cs="Calibri"/>
          <w:vertAlign w:val="superscript"/>
        </w:rPr>
        <w:footnoteReference w:id="7"/>
      </w:r>
      <w:r w:rsidR="003A3E9F" w:rsidRPr="003A3E9F">
        <w:rPr>
          <w:rFonts w:ascii="Calibri" w:hAnsi="Calibri" w:cs="Calibri"/>
        </w:rPr>
        <w:t xml:space="preserve"> According to the European Commission, the cost of long-term care is projected to raise from 1,7% of GDP to 2,5% in the next decades.</w:t>
      </w:r>
      <w:r w:rsidR="003A3E9F" w:rsidRPr="003A3E9F">
        <w:rPr>
          <w:rFonts w:ascii="Calibri" w:hAnsi="Calibri" w:cs="Calibri"/>
          <w:vertAlign w:val="superscript"/>
        </w:rPr>
        <w:footnoteReference w:id="8"/>
      </w:r>
    </w:p>
    <w:p w14:paraId="0BAD31F8" w14:textId="77777777" w:rsidR="00F474A6" w:rsidRDefault="00F474A6" w:rsidP="00E476EA">
      <w:pPr>
        <w:spacing w:after="0" w:line="276" w:lineRule="auto"/>
        <w:rPr>
          <w:rFonts w:ascii="Arial" w:hAnsi="Arial" w:cs="Arial"/>
        </w:rPr>
      </w:pPr>
    </w:p>
    <w:p w14:paraId="2E312F60" w14:textId="77777777" w:rsidR="00D80AC3" w:rsidRDefault="00D80AC3" w:rsidP="00E476EA">
      <w:pPr>
        <w:spacing w:after="0" w:line="276" w:lineRule="auto"/>
        <w:rPr>
          <w:rFonts w:ascii="Arial" w:hAnsi="Arial" w:cs="Arial"/>
        </w:rPr>
      </w:pPr>
    </w:p>
    <w:p w14:paraId="372B30AE" w14:textId="4FD9890E" w:rsidR="00E476EA" w:rsidRPr="00D80AC3" w:rsidRDefault="00D80AC3" w:rsidP="00E476EA">
      <w:pPr>
        <w:spacing w:after="0" w:line="276" w:lineRule="auto"/>
        <w:rPr>
          <w:rFonts w:ascii="Calibri" w:hAnsi="Calibri" w:cs="Calibri"/>
          <w:b/>
          <w:color w:val="E76F35"/>
        </w:rPr>
      </w:pPr>
      <w:r w:rsidRPr="00D80AC3">
        <w:rPr>
          <w:rFonts w:ascii="Calibri" w:hAnsi="Calibri" w:cs="Calibri"/>
          <w:b/>
          <w:color w:val="E76F35"/>
        </w:rPr>
        <w:t>To labour market inclusion through supported employment</w:t>
      </w:r>
    </w:p>
    <w:p w14:paraId="40C63ABB" w14:textId="77777777" w:rsidR="00E17A3F" w:rsidRDefault="00E17A3F" w:rsidP="00E476EA">
      <w:pPr>
        <w:spacing w:after="0" w:line="276" w:lineRule="auto"/>
        <w:rPr>
          <w:color w:val="355585"/>
          <w:sz w:val="28"/>
          <w:szCs w:val="14"/>
        </w:rPr>
      </w:pPr>
    </w:p>
    <w:p w14:paraId="0653766E" w14:textId="1F79511C" w:rsidR="00E17A3F" w:rsidRDefault="00E17A3F" w:rsidP="00E476EA">
      <w:pPr>
        <w:spacing w:after="0" w:line="276" w:lineRule="auto"/>
        <w:rPr>
          <w:rFonts w:ascii="Calibri" w:hAnsi="Calibri" w:cs="Calibri"/>
          <w:szCs w:val="12"/>
        </w:rPr>
      </w:pPr>
      <w:r w:rsidRPr="00E17A3F">
        <w:rPr>
          <w:rFonts w:ascii="Calibri" w:hAnsi="Calibri" w:cs="Calibri"/>
          <w:szCs w:val="12"/>
        </w:rPr>
        <w:t xml:space="preserve">Supported employment is </w:t>
      </w:r>
      <w:r w:rsidR="00665989">
        <w:rPr>
          <w:rFonts w:ascii="Calibri" w:hAnsi="Calibri" w:cs="Calibri"/>
          <w:szCs w:val="12"/>
        </w:rPr>
        <w:t>a</w:t>
      </w:r>
      <w:r w:rsidR="008E4DE8">
        <w:rPr>
          <w:rFonts w:ascii="Calibri" w:hAnsi="Calibri" w:cs="Calibri"/>
          <w:szCs w:val="12"/>
        </w:rPr>
        <w:t xml:space="preserve"> highly effective instrument for the labour market inclusion of disabled people. </w:t>
      </w:r>
    </w:p>
    <w:p w14:paraId="2B42BA39" w14:textId="77777777" w:rsidR="008E4DE8" w:rsidRDefault="008E4DE8" w:rsidP="00E476EA">
      <w:pPr>
        <w:spacing w:after="0" w:line="276" w:lineRule="auto"/>
        <w:rPr>
          <w:rFonts w:ascii="Calibri" w:hAnsi="Calibri" w:cs="Calibri"/>
          <w:szCs w:val="12"/>
        </w:rPr>
      </w:pPr>
    </w:p>
    <w:p w14:paraId="1F2D4DC4" w14:textId="134DEDE0" w:rsidR="008E4DE8" w:rsidRDefault="008E4DE8" w:rsidP="00E476EA">
      <w:pPr>
        <w:spacing w:after="0" w:line="276" w:lineRule="auto"/>
        <w:rPr>
          <w:rFonts w:ascii="Calibri" w:hAnsi="Calibri" w:cs="Calibri"/>
          <w:szCs w:val="12"/>
        </w:rPr>
      </w:pPr>
      <w:r>
        <w:rPr>
          <w:rFonts w:ascii="Calibri" w:hAnsi="Calibri" w:cs="Calibri"/>
          <w:szCs w:val="12"/>
        </w:rPr>
        <w:t xml:space="preserve">Important key principles are defined in General Comment No 8 on the </w:t>
      </w:r>
      <w:r w:rsidR="00C96BE4">
        <w:rPr>
          <w:rFonts w:ascii="Calibri" w:hAnsi="Calibri" w:cs="Calibri"/>
          <w:szCs w:val="12"/>
        </w:rPr>
        <w:t>right of persons with disabilities to work and employment</w:t>
      </w:r>
      <w:r w:rsidR="00050C8E">
        <w:rPr>
          <w:rFonts w:ascii="Calibri" w:hAnsi="Calibri" w:cs="Calibri"/>
          <w:szCs w:val="12"/>
        </w:rPr>
        <w:t>, issued by the UN Committee on the Rights of Persons with Disabilities in 2022</w:t>
      </w:r>
      <w:r w:rsidR="0030613C">
        <w:rPr>
          <w:rFonts w:ascii="Calibri" w:hAnsi="Calibri" w:cs="Calibri"/>
          <w:szCs w:val="12"/>
        </w:rPr>
        <w:t xml:space="preserve">. The </w:t>
      </w:r>
      <w:r w:rsidR="0009410F">
        <w:rPr>
          <w:rFonts w:ascii="Calibri" w:hAnsi="Calibri" w:cs="Calibri"/>
          <w:szCs w:val="12"/>
        </w:rPr>
        <w:t xml:space="preserve">central idea is that measures support employment in the open labour market: </w:t>
      </w:r>
    </w:p>
    <w:p w14:paraId="761BB03A" w14:textId="77777777" w:rsidR="0030613C" w:rsidRDefault="0030613C" w:rsidP="00E476EA">
      <w:pPr>
        <w:spacing w:after="0" w:line="276" w:lineRule="auto"/>
        <w:rPr>
          <w:rFonts w:ascii="Calibri" w:hAnsi="Calibri" w:cs="Calibri"/>
          <w:szCs w:val="12"/>
        </w:rPr>
      </w:pPr>
    </w:p>
    <w:p w14:paraId="258D1BF5" w14:textId="077ACEA4" w:rsidR="0030613C" w:rsidRDefault="0030613C" w:rsidP="00D80AC3">
      <w:pPr>
        <w:spacing w:after="0" w:line="276" w:lineRule="auto"/>
        <w:jc w:val="both"/>
        <w:rPr>
          <w:rFonts w:ascii="Calibri" w:hAnsi="Calibri" w:cs="Calibri"/>
          <w:szCs w:val="12"/>
        </w:rPr>
      </w:pPr>
      <w:r>
        <w:rPr>
          <w:rFonts w:ascii="Calibri" w:hAnsi="Calibri" w:cs="Calibri"/>
          <w:szCs w:val="12"/>
        </w:rPr>
        <w:t xml:space="preserve">- </w:t>
      </w:r>
      <w:r w:rsidRPr="0030613C">
        <w:rPr>
          <w:rFonts w:ascii="Calibri" w:hAnsi="Calibri" w:cs="Calibri"/>
          <w:szCs w:val="12"/>
        </w:rPr>
        <w:t>To promote self-employment: “Accessible information on entrepreneurship</w:t>
      </w:r>
      <w:r>
        <w:rPr>
          <w:rFonts w:ascii="Calibri" w:hAnsi="Calibri" w:cs="Calibri"/>
          <w:szCs w:val="12"/>
        </w:rPr>
        <w:t>”</w:t>
      </w:r>
    </w:p>
    <w:p w14:paraId="5D03AAB9" w14:textId="305B8548" w:rsidR="00C21AB9" w:rsidRPr="00C21AB9" w:rsidRDefault="00C21AB9" w:rsidP="00D80AC3">
      <w:pPr>
        <w:spacing w:after="0" w:line="276" w:lineRule="auto"/>
        <w:jc w:val="both"/>
        <w:rPr>
          <w:rFonts w:ascii="Calibri" w:hAnsi="Calibri" w:cs="Calibri"/>
          <w:szCs w:val="12"/>
        </w:rPr>
      </w:pPr>
      <w:r>
        <w:rPr>
          <w:rFonts w:ascii="Calibri" w:hAnsi="Calibri" w:cs="Calibri"/>
          <w:szCs w:val="12"/>
        </w:rPr>
        <w:t>- V</w:t>
      </w:r>
      <w:r w:rsidRPr="00C21AB9">
        <w:rPr>
          <w:rFonts w:ascii="Calibri" w:hAnsi="Calibri" w:cs="Calibri"/>
          <w:szCs w:val="12"/>
        </w:rPr>
        <w:t xml:space="preserve">ocational programmes </w:t>
      </w:r>
    </w:p>
    <w:p w14:paraId="70B96D9F" w14:textId="35D7510A" w:rsidR="00C21AB9" w:rsidRPr="00C21AB9" w:rsidRDefault="00C21AB9" w:rsidP="00D80AC3">
      <w:pPr>
        <w:spacing w:after="0" w:line="276" w:lineRule="auto"/>
        <w:jc w:val="both"/>
        <w:rPr>
          <w:rFonts w:ascii="Calibri" w:hAnsi="Calibri" w:cs="Calibri"/>
          <w:szCs w:val="12"/>
        </w:rPr>
      </w:pPr>
      <w:r>
        <w:rPr>
          <w:rFonts w:ascii="Calibri" w:hAnsi="Calibri" w:cs="Calibri"/>
          <w:szCs w:val="12"/>
        </w:rPr>
        <w:t xml:space="preserve">- </w:t>
      </w:r>
      <w:r w:rsidRPr="00C21AB9">
        <w:rPr>
          <w:rFonts w:ascii="Calibri" w:hAnsi="Calibri" w:cs="Calibri"/>
          <w:szCs w:val="12"/>
        </w:rPr>
        <w:t>Modifications of the work environment</w:t>
      </w:r>
    </w:p>
    <w:p w14:paraId="14AF549E" w14:textId="398142FF" w:rsidR="00C21AB9" w:rsidRPr="00C21AB9" w:rsidRDefault="00C21AB9" w:rsidP="00D80AC3">
      <w:pPr>
        <w:spacing w:after="0" w:line="276" w:lineRule="auto"/>
        <w:jc w:val="both"/>
        <w:rPr>
          <w:rFonts w:ascii="Calibri" w:hAnsi="Calibri" w:cs="Calibri"/>
          <w:szCs w:val="12"/>
        </w:rPr>
      </w:pPr>
      <w:r>
        <w:rPr>
          <w:rFonts w:ascii="Calibri" w:hAnsi="Calibri" w:cs="Calibri"/>
          <w:szCs w:val="12"/>
        </w:rPr>
        <w:t xml:space="preserve">- </w:t>
      </w:r>
      <w:r w:rsidRPr="00C21AB9">
        <w:rPr>
          <w:rFonts w:ascii="Calibri" w:hAnsi="Calibri" w:cs="Calibri"/>
          <w:szCs w:val="12"/>
        </w:rPr>
        <w:t xml:space="preserve">Wage subsidies </w:t>
      </w:r>
    </w:p>
    <w:p w14:paraId="254DDB96" w14:textId="2CBC2AFD" w:rsidR="00C21AB9" w:rsidRPr="00C21AB9" w:rsidRDefault="00C21AB9" w:rsidP="00D80AC3">
      <w:pPr>
        <w:spacing w:after="0" w:line="276" w:lineRule="auto"/>
        <w:jc w:val="both"/>
        <w:rPr>
          <w:rFonts w:ascii="Calibri" w:hAnsi="Calibri" w:cs="Calibri"/>
          <w:szCs w:val="12"/>
        </w:rPr>
      </w:pPr>
      <w:r>
        <w:rPr>
          <w:rFonts w:ascii="Calibri" w:hAnsi="Calibri" w:cs="Calibri"/>
          <w:szCs w:val="12"/>
        </w:rPr>
        <w:t>- A</w:t>
      </w:r>
      <w:r w:rsidRPr="00C21AB9">
        <w:rPr>
          <w:rFonts w:ascii="Calibri" w:hAnsi="Calibri" w:cs="Calibri"/>
          <w:szCs w:val="12"/>
        </w:rPr>
        <w:t xml:space="preserve">ccommodations </w:t>
      </w:r>
    </w:p>
    <w:p w14:paraId="36EDC716" w14:textId="0694BBF3" w:rsidR="00C21AB9" w:rsidRPr="00C21AB9" w:rsidRDefault="00C963D5" w:rsidP="00D80AC3">
      <w:pPr>
        <w:spacing w:after="0" w:line="276" w:lineRule="auto"/>
        <w:jc w:val="both"/>
        <w:rPr>
          <w:rFonts w:ascii="Calibri" w:hAnsi="Calibri" w:cs="Calibri"/>
          <w:szCs w:val="12"/>
        </w:rPr>
      </w:pPr>
      <w:r>
        <w:rPr>
          <w:rFonts w:ascii="Calibri" w:hAnsi="Calibri" w:cs="Calibri"/>
          <w:szCs w:val="12"/>
        </w:rPr>
        <w:t xml:space="preserve">- </w:t>
      </w:r>
      <w:r w:rsidR="00C21AB9" w:rsidRPr="00C21AB9">
        <w:rPr>
          <w:rFonts w:ascii="Calibri" w:hAnsi="Calibri" w:cs="Calibri"/>
          <w:szCs w:val="12"/>
        </w:rPr>
        <w:t>Workplace-based learning schemes: Internships, scholarships, bursaries, apprenticeships</w:t>
      </w:r>
    </w:p>
    <w:p w14:paraId="5AFB564E" w14:textId="77777777" w:rsidR="00C21AB9" w:rsidRPr="00C21AB9" w:rsidRDefault="00C21AB9" w:rsidP="00D80AC3">
      <w:pPr>
        <w:spacing w:after="0" w:line="276" w:lineRule="auto"/>
        <w:jc w:val="both"/>
        <w:rPr>
          <w:rFonts w:ascii="Calibri" w:hAnsi="Calibri" w:cs="Calibri"/>
          <w:szCs w:val="12"/>
        </w:rPr>
      </w:pPr>
      <w:r w:rsidRPr="00C21AB9">
        <w:rPr>
          <w:rFonts w:ascii="Calibri" w:hAnsi="Calibri" w:cs="Calibri"/>
          <w:szCs w:val="12"/>
        </w:rPr>
        <w:t xml:space="preserve">Job retention and return-to-work programmes </w:t>
      </w:r>
    </w:p>
    <w:p w14:paraId="33195CB0" w14:textId="42A10B3F" w:rsidR="00C21AB9" w:rsidRDefault="00C963D5" w:rsidP="00D80AC3">
      <w:pPr>
        <w:spacing w:after="0" w:line="276" w:lineRule="auto"/>
        <w:jc w:val="both"/>
        <w:rPr>
          <w:rFonts w:ascii="Calibri" w:hAnsi="Calibri" w:cs="Calibri"/>
          <w:szCs w:val="12"/>
        </w:rPr>
      </w:pPr>
      <w:r>
        <w:rPr>
          <w:rFonts w:ascii="Calibri" w:hAnsi="Calibri" w:cs="Calibri"/>
          <w:szCs w:val="12"/>
        </w:rPr>
        <w:t xml:space="preserve">- </w:t>
      </w:r>
      <w:r w:rsidR="00C21AB9" w:rsidRPr="00C21AB9">
        <w:rPr>
          <w:rFonts w:ascii="Calibri" w:hAnsi="Calibri" w:cs="Calibri"/>
          <w:szCs w:val="12"/>
        </w:rPr>
        <w:t>Access to rehabilitation services</w:t>
      </w:r>
    </w:p>
    <w:p w14:paraId="28DFF7FF" w14:textId="77777777" w:rsidR="00C963D5" w:rsidRDefault="00C963D5" w:rsidP="00C21AB9">
      <w:pPr>
        <w:spacing w:after="0" w:line="276" w:lineRule="auto"/>
        <w:rPr>
          <w:rFonts w:ascii="Calibri" w:hAnsi="Calibri" w:cs="Calibri"/>
          <w:szCs w:val="12"/>
        </w:rPr>
      </w:pPr>
    </w:p>
    <w:p w14:paraId="2FA53DB4" w14:textId="58D7F05A" w:rsidR="0034580D" w:rsidRPr="0034580D" w:rsidRDefault="0034580D" w:rsidP="0034580D">
      <w:pPr>
        <w:spacing w:after="0" w:line="276" w:lineRule="auto"/>
        <w:rPr>
          <w:rFonts w:ascii="Calibri" w:hAnsi="Calibri" w:cs="Calibri"/>
          <w:szCs w:val="12"/>
          <w:lang w:val="de-BE"/>
        </w:rPr>
      </w:pPr>
      <w:proofErr w:type="spellStart"/>
      <w:r w:rsidRPr="0034580D">
        <w:rPr>
          <w:rFonts w:ascii="Calibri" w:hAnsi="Calibri" w:cs="Calibri"/>
          <w:szCs w:val="12"/>
          <w:lang w:val="de-BE"/>
        </w:rPr>
        <w:t>Eurofound</w:t>
      </w:r>
      <w:proofErr w:type="spellEnd"/>
      <w:r w:rsidR="00E120A4">
        <w:rPr>
          <w:rFonts w:ascii="Calibri" w:hAnsi="Calibri" w:cs="Calibri"/>
          <w:szCs w:val="12"/>
          <w:lang w:val="de-BE"/>
        </w:rPr>
        <w:t xml:space="preserve"> </w:t>
      </w:r>
      <w:proofErr w:type="spellStart"/>
      <w:r w:rsidRPr="0034580D">
        <w:rPr>
          <w:rFonts w:ascii="Calibri" w:hAnsi="Calibri" w:cs="Calibri"/>
          <w:szCs w:val="12"/>
          <w:lang w:val="de-BE"/>
        </w:rPr>
        <w:t>is</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defining</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supported</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employment</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as</w:t>
      </w:r>
      <w:proofErr w:type="spellEnd"/>
      <w:r w:rsidRPr="0034580D">
        <w:rPr>
          <w:rFonts w:ascii="Calibri" w:hAnsi="Calibri" w:cs="Calibri"/>
          <w:szCs w:val="12"/>
          <w:lang w:val="de-BE"/>
        </w:rPr>
        <w:t xml:space="preserve"> “a </w:t>
      </w:r>
      <w:proofErr w:type="spellStart"/>
      <w:r w:rsidRPr="0034580D">
        <w:rPr>
          <w:rFonts w:ascii="Calibri" w:hAnsi="Calibri" w:cs="Calibri"/>
          <w:szCs w:val="12"/>
          <w:lang w:val="de-BE"/>
        </w:rPr>
        <w:t>method</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of</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working</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with</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groups</w:t>
      </w:r>
      <w:proofErr w:type="spellEnd"/>
      <w:r w:rsidRPr="0034580D">
        <w:rPr>
          <w:rFonts w:ascii="Calibri" w:hAnsi="Calibri" w:cs="Calibri"/>
          <w:szCs w:val="12"/>
          <w:lang w:val="de-BE"/>
        </w:rPr>
        <w:t xml:space="preserve"> in </w:t>
      </w:r>
      <w:proofErr w:type="spellStart"/>
      <w:r w:rsidRPr="0034580D">
        <w:rPr>
          <w:rFonts w:ascii="Calibri" w:hAnsi="Calibri" w:cs="Calibri"/>
          <w:szCs w:val="12"/>
          <w:lang w:val="de-BE"/>
        </w:rPr>
        <w:t>disadvantaged</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situations</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to</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enable</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them</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to</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enter</w:t>
      </w:r>
      <w:proofErr w:type="spellEnd"/>
      <w:r w:rsidRPr="0034580D">
        <w:rPr>
          <w:rFonts w:ascii="Calibri" w:hAnsi="Calibri" w:cs="Calibri"/>
          <w:szCs w:val="12"/>
          <w:lang w:val="de-BE"/>
        </w:rPr>
        <w:t xml:space="preserve"> and </w:t>
      </w:r>
      <w:proofErr w:type="spellStart"/>
      <w:r w:rsidRPr="0034580D">
        <w:rPr>
          <w:rFonts w:ascii="Calibri" w:hAnsi="Calibri" w:cs="Calibri"/>
          <w:szCs w:val="12"/>
          <w:lang w:val="de-BE"/>
        </w:rPr>
        <w:t>maintain</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paid</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employment</w:t>
      </w:r>
      <w:proofErr w:type="spellEnd"/>
      <w:r w:rsidRPr="0034580D">
        <w:rPr>
          <w:rFonts w:ascii="Calibri" w:hAnsi="Calibri" w:cs="Calibri"/>
          <w:szCs w:val="12"/>
          <w:lang w:val="de-BE"/>
        </w:rPr>
        <w:t xml:space="preserve"> in </w:t>
      </w:r>
      <w:proofErr w:type="spellStart"/>
      <w:r w:rsidRPr="0034580D">
        <w:rPr>
          <w:rFonts w:ascii="Calibri" w:hAnsi="Calibri" w:cs="Calibri"/>
          <w:szCs w:val="12"/>
          <w:lang w:val="de-BE"/>
        </w:rPr>
        <w:t>the</w:t>
      </w:r>
      <w:proofErr w:type="spellEnd"/>
      <w:r w:rsidRPr="0034580D">
        <w:rPr>
          <w:rFonts w:ascii="Calibri" w:hAnsi="Calibri" w:cs="Calibri"/>
          <w:szCs w:val="12"/>
          <w:lang w:val="de-BE"/>
        </w:rPr>
        <w:t xml:space="preserve"> open </w:t>
      </w:r>
      <w:proofErr w:type="spellStart"/>
      <w:r w:rsidRPr="0034580D">
        <w:rPr>
          <w:rFonts w:ascii="Calibri" w:hAnsi="Calibri" w:cs="Calibri"/>
          <w:szCs w:val="12"/>
          <w:lang w:val="de-BE"/>
        </w:rPr>
        <w:t>labour</w:t>
      </w:r>
      <w:proofErr w:type="spellEnd"/>
      <w:r w:rsidRPr="0034580D">
        <w:rPr>
          <w:rFonts w:ascii="Calibri" w:hAnsi="Calibri" w:cs="Calibri"/>
          <w:szCs w:val="12"/>
          <w:lang w:val="de-BE"/>
        </w:rPr>
        <w:t xml:space="preserve"> </w:t>
      </w:r>
      <w:proofErr w:type="spellStart"/>
      <w:r w:rsidRPr="0034580D">
        <w:rPr>
          <w:rFonts w:ascii="Calibri" w:hAnsi="Calibri" w:cs="Calibri"/>
          <w:szCs w:val="12"/>
          <w:lang w:val="de-BE"/>
        </w:rPr>
        <w:t>market</w:t>
      </w:r>
      <w:proofErr w:type="spellEnd"/>
      <w:r>
        <w:rPr>
          <w:rFonts w:ascii="Calibri" w:hAnsi="Calibri" w:cs="Calibri"/>
          <w:szCs w:val="12"/>
          <w:lang w:val="de-BE"/>
        </w:rPr>
        <w:t>.</w:t>
      </w:r>
      <w:r w:rsidRPr="0034580D">
        <w:rPr>
          <w:rFonts w:ascii="Calibri" w:hAnsi="Calibri" w:cs="Calibri"/>
          <w:szCs w:val="12"/>
          <w:lang w:val="de-BE"/>
        </w:rPr>
        <w:t>”</w:t>
      </w:r>
      <w:r>
        <w:rPr>
          <w:rStyle w:val="Funotenzeichen"/>
          <w:rFonts w:ascii="Calibri" w:hAnsi="Calibri" w:cs="Calibri"/>
          <w:szCs w:val="12"/>
          <w:lang w:val="de-BE"/>
        </w:rPr>
        <w:footnoteReference w:id="9"/>
      </w:r>
    </w:p>
    <w:p w14:paraId="02305814" w14:textId="77777777" w:rsidR="0064180D" w:rsidRDefault="0064180D" w:rsidP="00C21AB9">
      <w:pPr>
        <w:spacing w:after="0" w:line="276" w:lineRule="auto"/>
        <w:rPr>
          <w:rFonts w:ascii="Calibri" w:hAnsi="Calibri" w:cs="Calibri"/>
          <w:szCs w:val="12"/>
        </w:rPr>
      </w:pPr>
    </w:p>
    <w:p w14:paraId="0037A549" w14:textId="77777777" w:rsidR="00D80AC3" w:rsidRDefault="00D80AC3" w:rsidP="00C21AB9">
      <w:pPr>
        <w:spacing w:after="0" w:line="276" w:lineRule="auto"/>
        <w:rPr>
          <w:rFonts w:ascii="Calibri" w:hAnsi="Calibri" w:cs="Calibri"/>
          <w:szCs w:val="12"/>
        </w:rPr>
      </w:pPr>
    </w:p>
    <w:p w14:paraId="525CD6B6" w14:textId="77777777" w:rsidR="00D80AC3" w:rsidRDefault="00D80AC3" w:rsidP="00C21AB9">
      <w:pPr>
        <w:spacing w:after="0" w:line="276" w:lineRule="auto"/>
        <w:rPr>
          <w:rFonts w:ascii="Calibri" w:hAnsi="Calibri" w:cs="Calibri"/>
          <w:szCs w:val="12"/>
        </w:rPr>
      </w:pPr>
    </w:p>
    <w:p w14:paraId="4EB3757B" w14:textId="77777777" w:rsidR="00D80AC3" w:rsidRDefault="00D80AC3" w:rsidP="00C21AB9">
      <w:pPr>
        <w:spacing w:after="0" w:line="276" w:lineRule="auto"/>
        <w:rPr>
          <w:rFonts w:ascii="Calibri" w:hAnsi="Calibri" w:cs="Calibri"/>
          <w:szCs w:val="12"/>
        </w:rPr>
      </w:pPr>
    </w:p>
    <w:p w14:paraId="30BD4597" w14:textId="77777777" w:rsidR="00D80AC3" w:rsidRDefault="00D80AC3" w:rsidP="00C21AB9">
      <w:pPr>
        <w:spacing w:after="0" w:line="276" w:lineRule="auto"/>
        <w:rPr>
          <w:rFonts w:ascii="Calibri" w:hAnsi="Calibri" w:cs="Calibri"/>
          <w:szCs w:val="12"/>
        </w:rPr>
      </w:pPr>
    </w:p>
    <w:p w14:paraId="252F6CDE" w14:textId="77777777" w:rsidR="0064180D" w:rsidRDefault="0064180D" w:rsidP="00C21AB9">
      <w:pPr>
        <w:spacing w:after="0" w:line="276" w:lineRule="auto"/>
        <w:rPr>
          <w:rFonts w:ascii="Calibri" w:hAnsi="Calibri" w:cs="Calibri"/>
          <w:szCs w:val="12"/>
        </w:rPr>
      </w:pPr>
    </w:p>
    <w:p w14:paraId="1E91E4DD" w14:textId="77777777" w:rsidR="00D80AC3" w:rsidRPr="00D80AC3" w:rsidRDefault="00D80AC3" w:rsidP="00D80AC3">
      <w:pPr>
        <w:spacing w:after="0" w:line="276" w:lineRule="auto"/>
        <w:rPr>
          <w:rFonts w:ascii="Calibri" w:hAnsi="Calibri" w:cs="Calibri"/>
          <w:b/>
          <w:color w:val="E76F35"/>
        </w:rPr>
      </w:pPr>
      <w:r w:rsidRPr="00D80AC3">
        <w:rPr>
          <w:rFonts w:ascii="Calibri" w:hAnsi="Calibri" w:cs="Calibri"/>
          <w:b/>
          <w:color w:val="E76F35"/>
        </w:rPr>
        <w:lastRenderedPageBreak/>
        <w:t>Success rates of sheltered and supported employment</w:t>
      </w:r>
    </w:p>
    <w:p w14:paraId="3F199AC4" w14:textId="77777777" w:rsidR="004579F4" w:rsidRDefault="004579F4" w:rsidP="004579F4">
      <w:pPr>
        <w:spacing w:after="0" w:line="276" w:lineRule="auto"/>
        <w:rPr>
          <w:color w:val="355585"/>
          <w:sz w:val="28"/>
          <w:szCs w:val="14"/>
        </w:rPr>
      </w:pPr>
    </w:p>
    <w:p w14:paraId="4180C169" w14:textId="77B3F436" w:rsidR="00E70D3C" w:rsidRPr="00E17A3F" w:rsidRDefault="008646FB" w:rsidP="00210043">
      <w:pPr>
        <w:spacing w:after="0" w:line="276" w:lineRule="auto"/>
        <w:jc w:val="both"/>
        <w:rPr>
          <w:rFonts w:ascii="Calibri" w:hAnsi="Calibri" w:cs="Calibri"/>
          <w:szCs w:val="12"/>
        </w:rPr>
      </w:pPr>
      <w:r>
        <w:rPr>
          <w:rFonts w:ascii="Calibri" w:hAnsi="Calibri" w:cs="Calibri"/>
          <w:szCs w:val="12"/>
        </w:rPr>
        <w:t>According to the</w:t>
      </w:r>
      <w:r w:rsidR="00B51C66" w:rsidRPr="00BD138E">
        <w:rPr>
          <w:rFonts w:ascii="Calibri" w:hAnsi="Calibri" w:cs="Calibri"/>
          <w:szCs w:val="12"/>
        </w:rPr>
        <w:t xml:space="preserve"> European Commission study on alternative employment models for persons with disabiliti</w:t>
      </w:r>
      <w:r>
        <w:rPr>
          <w:rFonts w:ascii="Calibri" w:hAnsi="Calibri" w:cs="Calibri"/>
          <w:szCs w:val="12"/>
        </w:rPr>
        <w:t xml:space="preserve">es, sheltered employment </w:t>
      </w:r>
      <w:r w:rsidR="000269AB">
        <w:rPr>
          <w:rFonts w:ascii="Calibri" w:hAnsi="Calibri" w:cs="Calibri"/>
          <w:szCs w:val="12"/>
        </w:rPr>
        <w:t xml:space="preserve">produces </w:t>
      </w:r>
      <w:r w:rsidR="00B51C66" w:rsidRPr="00B51C66">
        <w:rPr>
          <w:rFonts w:ascii="Calibri" w:hAnsi="Calibri" w:cs="Calibri"/>
          <w:szCs w:val="12"/>
        </w:rPr>
        <w:t>transition</w:t>
      </w:r>
      <w:r w:rsidR="000269AB">
        <w:rPr>
          <w:rFonts w:ascii="Calibri" w:hAnsi="Calibri" w:cs="Calibri"/>
          <w:szCs w:val="12"/>
        </w:rPr>
        <w:t xml:space="preserve"> rates</w:t>
      </w:r>
      <w:r w:rsidR="00B51C66" w:rsidRPr="00B51C66">
        <w:rPr>
          <w:rFonts w:ascii="Calibri" w:hAnsi="Calibri" w:cs="Calibri"/>
          <w:szCs w:val="12"/>
        </w:rPr>
        <w:t xml:space="preserve"> into regular work</w:t>
      </w:r>
      <w:r w:rsidR="000269AB">
        <w:rPr>
          <w:rFonts w:ascii="Calibri" w:hAnsi="Calibri" w:cs="Calibri"/>
          <w:szCs w:val="12"/>
        </w:rPr>
        <w:t xml:space="preserve"> of</w:t>
      </w:r>
      <w:r w:rsidR="007E0F4E">
        <w:rPr>
          <w:rFonts w:ascii="Calibri" w:hAnsi="Calibri" w:cs="Calibri"/>
          <w:szCs w:val="12"/>
        </w:rPr>
        <w:t xml:space="preserve"> not more than</w:t>
      </w:r>
      <w:r w:rsidR="000269AB">
        <w:rPr>
          <w:rFonts w:ascii="Calibri" w:hAnsi="Calibri" w:cs="Calibri"/>
          <w:szCs w:val="12"/>
        </w:rPr>
        <w:t xml:space="preserve"> </w:t>
      </w:r>
      <w:r w:rsidR="00B51C66" w:rsidRPr="00B51C66">
        <w:rPr>
          <w:rFonts w:ascii="Calibri" w:hAnsi="Calibri" w:cs="Calibri"/>
          <w:szCs w:val="12"/>
        </w:rPr>
        <w:t xml:space="preserve">6% to 7%. </w:t>
      </w:r>
      <w:r w:rsidR="007E0F4E">
        <w:rPr>
          <w:rFonts w:ascii="Calibri" w:hAnsi="Calibri" w:cs="Calibri"/>
          <w:szCs w:val="12"/>
        </w:rPr>
        <w:t xml:space="preserve">Usual rates are lower. </w:t>
      </w:r>
      <w:r w:rsidR="00B51C66" w:rsidRPr="00B51C66">
        <w:rPr>
          <w:rFonts w:ascii="Calibri" w:hAnsi="Calibri" w:cs="Calibri"/>
          <w:szCs w:val="12"/>
        </w:rPr>
        <w:t>In Austria only 0,7% of persons working in sheltered workshops make the transition. For Germany studies indicate a transition rate of less than 1%. A study from 2023 by the Ministry of Social Affairs established a transition rate of 0,35%. For Spain it is 0,55%.</w:t>
      </w:r>
      <w:r w:rsidR="00BD138E">
        <w:rPr>
          <w:rStyle w:val="Funotenzeichen"/>
          <w:rFonts w:ascii="Calibri" w:hAnsi="Calibri" w:cs="Calibri"/>
          <w:szCs w:val="12"/>
        </w:rPr>
        <w:footnoteReference w:id="10"/>
      </w:r>
    </w:p>
    <w:p w14:paraId="0EF75A6E" w14:textId="77777777" w:rsidR="00E476EA" w:rsidRDefault="00E476EA" w:rsidP="00E476EA">
      <w:pPr>
        <w:spacing w:after="0" w:line="276" w:lineRule="auto"/>
        <w:rPr>
          <w:color w:val="355585"/>
          <w:sz w:val="28"/>
          <w:szCs w:val="14"/>
        </w:rPr>
      </w:pPr>
    </w:p>
    <w:p w14:paraId="2A7835BA" w14:textId="77777777" w:rsidR="00E744A2" w:rsidRPr="005E460A" w:rsidRDefault="00054D44" w:rsidP="00033457">
      <w:pPr>
        <w:spacing w:after="0" w:line="276" w:lineRule="auto"/>
        <w:jc w:val="both"/>
        <w:rPr>
          <w:rFonts w:ascii="Calibri" w:hAnsi="Calibri" w:cs="Calibri"/>
        </w:rPr>
      </w:pPr>
      <w:r w:rsidRPr="005E460A">
        <w:rPr>
          <w:rFonts w:ascii="Calibri" w:hAnsi="Calibri" w:cs="Calibri"/>
        </w:rPr>
        <w:t>The Metropolitan City of Milan is running</w:t>
      </w:r>
      <w:r w:rsidR="000464CD" w:rsidRPr="005E460A">
        <w:rPr>
          <w:rFonts w:ascii="Calibri" w:hAnsi="Calibri" w:cs="Calibri"/>
        </w:rPr>
        <w:t xml:space="preserve"> </w:t>
      </w:r>
      <w:r w:rsidRPr="005E460A">
        <w:rPr>
          <w:rFonts w:ascii="Calibri" w:hAnsi="Calibri" w:cs="Calibri"/>
        </w:rPr>
        <w:t xml:space="preserve">Emergo - </w:t>
      </w:r>
      <w:proofErr w:type="spellStart"/>
      <w:r w:rsidRPr="005E460A">
        <w:rPr>
          <w:rFonts w:ascii="Calibri" w:hAnsi="Calibri" w:cs="Calibri"/>
        </w:rPr>
        <w:t>Esperienza</w:t>
      </w:r>
      <w:proofErr w:type="spellEnd"/>
      <w:r w:rsidRPr="005E460A">
        <w:rPr>
          <w:rFonts w:ascii="Calibri" w:hAnsi="Calibri" w:cs="Calibri"/>
        </w:rPr>
        <w:t xml:space="preserve"> </w:t>
      </w:r>
      <w:proofErr w:type="spellStart"/>
      <w:r w:rsidRPr="005E460A">
        <w:rPr>
          <w:rFonts w:ascii="Calibri" w:hAnsi="Calibri" w:cs="Calibri"/>
        </w:rPr>
        <w:t>Metodologia</w:t>
      </w:r>
      <w:proofErr w:type="spellEnd"/>
      <w:r w:rsidRPr="005E460A">
        <w:rPr>
          <w:rFonts w:ascii="Calibri" w:hAnsi="Calibri" w:cs="Calibri"/>
        </w:rPr>
        <w:t xml:space="preserve"> e </w:t>
      </w:r>
      <w:proofErr w:type="spellStart"/>
      <w:r w:rsidRPr="005E460A">
        <w:rPr>
          <w:rFonts w:ascii="Calibri" w:hAnsi="Calibri" w:cs="Calibri"/>
        </w:rPr>
        <w:t>Risorse</w:t>
      </w:r>
      <w:proofErr w:type="spellEnd"/>
      <w:r w:rsidRPr="005E460A">
        <w:rPr>
          <w:rFonts w:ascii="Calibri" w:hAnsi="Calibri" w:cs="Calibri"/>
        </w:rPr>
        <w:t xml:space="preserve"> </w:t>
      </w:r>
      <w:proofErr w:type="spellStart"/>
      <w:r w:rsidRPr="005E460A">
        <w:rPr>
          <w:rFonts w:ascii="Calibri" w:hAnsi="Calibri" w:cs="Calibri"/>
        </w:rPr>
        <w:t>Generano</w:t>
      </w:r>
      <w:proofErr w:type="spellEnd"/>
      <w:r w:rsidRPr="005E460A">
        <w:rPr>
          <w:rFonts w:ascii="Calibri" w:hAnsi="Calibri" w:cs="Calibri"/>
        </w:rPr>
        <w:t xml:space="preserve"> </w:t>
      </w:r>
      <w:proofErr w:type="spellStart"/>
      <w:r w:rsidRPr="005E460A">
        <w:rPr>
          <w:rFonts w:ascii="Calibri" w:hAnsi="Calibri" w:cs="Calibri"/>
        </w:rPr>
        <w:t>Opportunità</w:t>
      </w:r>
      <w:proofErr w:type="spellEnd"/>
      <w:r w:rsidRPr="005E460A">
        <w:rPr>
          <w:rFonts w:ascii="Calibri" w:hAnsi="Calibri" w:cs="Calibri"/>
        </w:rPr>
        <w:t xml:space="preserve"> –</w:t>
      </w:r>
      <w:r w:rsidR="000464CD" w:rsidRPr="005E460A">
        <w:rPr>
          <w:rFonts w:ascii="Calibri" w:hAnsi="Calibri" w:cs="Calibri"/>
        </w:rPr>
        <w:t xml:space="preserve"> an </w:t>
      </w:r>
      <w:r w:rsidRPr="005E460A">
        <w:rPr>
          <w:rFonts w:ascii="Calibri" w:hAnsi="Calibri" w:cs="Calibri"/>
        </w:rPr>
        <w:t xml:space="preserve">inclusive employment plan </w:t>
      </w:r>
      <w:r w:rsidR="000464CD" w:rsidRPr="005E460A">
        <w:rPr>
          <w:rFonts w:ascii="Calibri" w:hAnsi="Calibri" w:cs="Calibri"/>
        </w:rPr>
        <w:t>that can be referred to as supported employment.</w:t>
      </w:r>
      <w:r w:rsidR="00901992" w:rsidRPr="005E460A">
        <w:rPr>
          <w:rStyle w:val="Funotenzeichen"/>
          <w:rFonts w:ascii="Calibri" w:hAnsi="Calibri" w:cs="Calibri"/>
        </w:rPr>
        <w:footnoteReference w:id="11"/>
      </w:r>
      <w:r w:rsidR="00221854" w:rsidRPr="005E460A">
        <w:rPr>
          <w:rFonts w:ascii="Calibri" w:hAnsi="Calibri" w:cs="Calibri"/>
        </w:rPr>
        <w:t xml:space="preserve"> Emergo uses </w:t>
      </w:r>
      <w:r w:rsidR="00221854" w:rsidRPr="005E460A">
        <w:rPr>
          <w:rFonts w:ascii="Calibri" w:hAnsi="Calibri" w:cs="Calibri"/>
        </w:rPr>
        <w:t>personalized services, financial instruments, support for companies, schools, families, and local social and health services.</w:t>
      </w:r>
      <w:r w:rsidR="002235E5" w:rsidRPr="005E460A">
        <w:rPr>
          <w:rFonts w:ascii="Calibri" w:hAnsi="Calibri" w:cs="Calibri"/>
        </w:rPr>
        <w:t xml:space="preserve"> </w:t>
      </w:r>
    </w:p>
    <w:p w14:paraId="265945E6" w14:textId="77777777" w:rsidR="00E744A2" w:rsidRPr="005E460A" w:rsidRDefault="00E744A2" w:rsidP="00033457">
      <w:pPr>
        <w:spacing w:after="0" w:line="276" w:lineRule="auto"/>
        <w:jc w:val="both"/>
        <w:rPr>
          <w:rFonts w:ascii="Calibri" w:hAnsi="Calibri" w:cs="Calibri"/>
        </w:rPr>
      </w:pPr>
    </w:p>
    <w:p w14:paraId="4FD1BAE8" w14:textId="60B1F6E3" w:rsidR="00E476EA" w:rsidRPr="005E460A" w:rsidRDefault="00033457" w:rsidP="00033457">
      <w:pPr>
        <w:spacing w:after="0" w:line="276" w:lineRule="auto"/>
        <w:jc w:val="both"/>
        <w:rPr>
          <w:rFonts w:ascii="Calibri" w:hAnsi="Calibri" w:cs="Calibri"/>
        </w:rPr>
      </w:pPr>
      <w:r w:rsidRPr="005E460A">
        <w:rPr>
          <w:rFonts w:ascii="Calibri" w:hAnsi="Calibri" w:cs="Calibri"/>
        </w:rPr>
        <w:t xml:space="preserve">The programme </w:t>
      </w:r>
      <w:r w:rsidRPr="005E460A">
        <w:rPr>
          <w:rFonts w:ascii="Calibri" w:hAnsi="Calibri" w:cs="Calibri"/>
        </w:rPr>
        <w:t>Dote Unica Lavoro</w:t>
      </w:r>
      <w:r w:rsidR="00E744A2" w:rsidRPr="005E460A">
        <w:rPr>
          <w:rFonts w:ascii="Calibri" w:hAnsi="Calibri" w:cs="Calibri"/>
        </w:rPr>
        <w:t xml:space="preserve"> is part of Emergo. It </w:t>
      </w:r>
      <w:r w:rsidRPr="005E460A">
        <w:rPr>
          <w:rFonts w:ascii="Calibri" w:hAnsi="Calibri" w:cs="Calibri"/>
        </w:rPr>
        <w:t>provides</w:t>
      </w:r>
      <w:r w:rsidRPr="005E460A">
        <w:rPr>
          <w:rFonts w:ascii="Calibri" w:hAnsi="Calibri" w:cs="Calibri"/>
        </w:rPr>
        <w:t xml:space="preserve"> personalised services</w:t>
      </w:r>
      <w:r w:rsidRPr="005E460A">
        <w:rPr>
          <w:rFonts w:ascii="Calibri" w:hAnsi="Calibri" w:cs="Calibri"/>
        </w:rPr>
        <w:t>. For example, u</w:t>
      </w:r>
      <w:r w:rsidRPr="005E460A">
        <w:rPr>
          <w:rFonts w:ascii="Calibri" w:hAnsi="Calibri" w:cs="Calibri"/>
        </w:rPr>
        <w:t>nemployed persons with disabilities receive a personalised offer of guidance, training and support services.</w:t>
      </w:r>
      <w:r w:rsidR="001907AE" w:rsidRPr="005E460A">
        <w:rPr>
          <w:rFonts w:ascii="Calibri" w:hAnsi="Calibri" w:cs="Calibri"/>
        </w:rPr>
        <w:t xml:space="preserve"> </w:t>
      </w:r>
      <w:r w:rsidR="001907AE" w:rsidRPr="005E460A">
        <w:rPr>
          <w:rFonts w:ascii="Calibri" w:hAnsi="Calibri" w:cs="Calibri"/>
        </w:rPr>
        <w:t>Dote Impresa </w:t>
      </w:r>
      <w:r w:rsidR="001907AE" w:rsidRPr="005E460A">
        <w:rPr>
          <w:rFonts w:ascii="Calibri" w:hAnsi="Calibri" w:cs="Calibri"/>
        </w:rPr>
        <w:t>allocates</w:t>
      </w:r>
      <w:r w:rsidR="001907AE" w:rsidRPr="005E460A">
        <w:rPr>
          <w:rFonts w:ascii="Calibri" w:hAnsi="Calibri" w:cs="Calibri"/>
        </w:rPr>
        <w:t xml:space="preserve"> </w:t>
      </w:r>
      <w:r w:rsidR="001907AE" w:rsidRPr="005E460A">
        <w:rPr>
          <w:rFonts w:ascii="Calibri" w:hAnsi="Calibri" w:cs="Calibri"/>
        </w:rPr>
        <w:t>r</w:t>
      </w:r>
      <w:r w:rsidR="001907AE" w:rsidRPr="005E460A">
        <w:rPr>
          <w:rFonts w:ascii="Calibri" w:hAnsi="Calibri" w:cs="Calibri"/>
        </w:rPr>
        <w:t>esources and services allocated to support the integration and retention of persons with disabilities in employment. Employers receive contributions to expenses connected to recruitment and employing.</w:t>
      </w:r>
    </w:p>
    <w:p w14:paraId="714F3024" w14:textId="77777777" w:rsidR="006B148A" w:rsidRPr="005E460A" w:rsidRDefault="006B148A" w:rsidP="00033457">
      <w:pPr>
        <w:spacing w:after="0" w:line="276" w:lineRule="auto"/>
        <w:jc w:val="both"/>
        <w:rPr>
          <w:rFonts w:ascii="Calibri" w:hAnsi="Calibri" w:cs="Calibri"/>
        </w:rPr>
      </w:pPr>
    </w:p>
    <w:p w14:paraId="79DC5048" w14:textId="07AB5D79" w:rsidR="006B148A" w:rsidRPr="006B148A" w:rsidRDefault="006B148A" w:rsidP="006B148A">
      <w:pPr>
        <w:spacing w:after="0" w:line="276" w:lineRule="auto"/>
        <w:jc w:val="both"/>
        <w:rPr>
          <w:rFonts w:ascii="Calibri" w:hAnsi="Calibri" w:cs="Calibri"/>
          <w:lang w:val="de-BE"/>
        </w:rPr>
      </w:pPr>
      <w:r w:rsidRPr="005E460A">
        <w:rPr>
          <w:rFonts w:ascii="Calibri" w:hAnsi="Calibri" w:cs="Calibri"/>
          <w:lang w:val="de-BE"/>
        </w:rPr>
        <w:t>I</w:t>
      </w:r>
      <w:r w:rsidRPr="006B148A">
        <w:rPr>
          <w:rFonts w:ascii="Calibri" w:hAnsi="Calibri" w:cs="Calibri"/>
          <w:lang w:val="de-BE"/>
        </w:rPr>
        <w:t>n 2024, 15.850</w:t>
      </w:r>
      <w:r w:rsidRPr="005E460A">
        <w:rPr>
          <w:rFonts w:ascii="Calibri" w:hAnsi="Calibri" w:cs="Calibri"/>
          <w:lang w:val="de-BE"/>
        </w:rPr>
        <w:t xml:space="preserve"> </w:t>
      </w:r>
      <w:r w:rsidR="00E744A2" w:rsidRPr="005E460A">
        <w:rPr>
          <w:rFonts w:ascii="Calibri" w:hAnsi="Calibri" w:cs="Calibri"/>
          <w:lang w:val="de-BE"/>
        </w:rPr>
        <w:t xml:space="preserve">disabled people </w:t>
      </w:r>
      <w:proofErr w:type="spellStart"/>
      <w:r w:rsidR="00E744A2" w:rsidRPr="005E460A">
        <w:rPr>
          <w:rFonts w:ascii="Calibri" w:hAnsi="Calibri" w:cs="Calibri"/>
          <w:lang w:val="de-BE"/>
        </w:rPr>
        <w:t>were</w:t>
      </w:r>
      <w:proofErr w:type="spellEnd"/>
      <w:r w:rsidR="00E744A2" w:rsidRPr="005E460A">
        <w:rPr>
          <w:rFonts w:ascii="Calibri" w:hAnsi="Calibri" w:cs="Calibri"/>
          <w:lang w:val="de-BE"/>
        </w:rPr>
        <w:t xml:space="preserve"> </w:t>
      </w:r>
      <w:proofErr w:type="spellStart"/>
      <w:r w:rsidR="00E744A2" w:rsidRPr="005E460A">
        <w:rPr>
          <w:rFonts w:ascii="Calibri" w:hAnsi="Calibri" w:cs="Calibri"/>
          <w:lang w:val="de-BE"/>
        </w:rPr>
        <w:t>enrolled</w:t>
      </w:r>
      <w:proofErr w:type="spellEnd"/>
      <w:r w:rsidR="00E744A2" w:rsidRPr="005E460A">
        <w:rPr>
          <w:rFonts w:ascii="Calibri" w:hAnsi="Calibri" w:cs="Calibri"/>
          <w:lang w:val="de-BE"/>
        </w:rPr>
        <w:t xml:space="preserve"> in </w:t>
      </w:r>
      <w:proofErr w:type="spellStart"/>
      <w:r w:rsidR="00E744A2" w:rsidRPr="005E460A">
        <w:rPr>
          <w:rFonts w:ascii="Calibri" w:hAnsi="Calibri" w:cs="Calibri"/>
          <w:lang w:val="de-BE"/>
        </w:rPr>
        <w:t>the</w:t>
      </w:r>
      <w:proofErr w:type="spellEnd"/>
      <w:r w:rsidR="00E744A2" w:rsidRPr="005E460A">
        <w:rPr>
          <w:rFonts w:ascii="Calibri" w:hAnsi="Calibri" w:cs="Calibri"/>
          <w:lang w:val="de-BE"/>
        </w:rPr>
        <w:t xml:space="preserve"> </w:t>
      </w:r>
      <w:proofErr w:type="spellStart"/>
      <w:r w:rsidR="00E744A2" w:rsidRPr="005E460A">
        <w:rPr>
          <w:rFonts w:ascii="Calibri" w:hAnsi="Calibri" w:cs="Calibri"/>
          <w:lang w:val="de-BE"/>
        </w:rPr>
        <w:t>various</w:t>
      </w:r>
      <w:proofErr w:type="spellEnd"/>
      <w:r w:rsidR="00E744A2" w:rsidRPr="005E460A">
        <w:rPr>
          <w:rFonts w:ascii="Calibri" w:hAnsi="Calibri" w:cs="Calibri"/>
          <w:lang w:val="de-BE"/>
        </w:rPr>
        <w:t xml:space="preserve"> </w:t>
      </w:r>
      <w:proofErr w:type="spellStart"/>
      <w:r w:rsidR="00E744A2" w:rsidRPr="005E460A">
        <w:rPr>
          <w:rFonts w:ascii="Calibri" w:hAnsi="Calibri" w:cs="Calibri"/>
          <w:lang w:val="de-BE"/>
        </w:rPr>
        <w:t>programmes</w:t>
      </w:r>
      <w:proofErr w:type="spellEnd"/>
      <w:r w:rsidR="00E744A2" w:rsidRPr="005E460A">
        <w:rPr>
          <w:rFonts w:ascii="Calibri" w:hAnsi="Calibri" w:cs="Calibri"/>
          <w:lang w:val="de-BE"/>
        </w:rPr>
        <w:t xml:space="preserve"> </w:t>
      </w:r>
      <w:proofErr w:type="spellStart"/>
      <w:r w:rsidR="00E744A2" w:rsidRPr="005E460A">
        <w:rPr>
          <w:rFonts w:ascii="Calibri" w:hAnsi="Calibri" w:cs="Calibri"/>
          <w:lang w:val="de-BE"/>
        </w:rPr>
        <w:t>of</w:t>
      </w:r>
      <w:proofErr w:type="spellEnd"/>
      <w:r w:rsidR="00E744A2" w:rsidRPr="005E460A">
        <w:rPr>
          <w:rFonts w:ascii="Calibri" w:hAnsi="Calibri" w:cs="Calibri"/>
          <w:lang w:val="de-BE"/>
        </w:rPr>
        <w:t xml:space="preserve"> </w:t>
      </w:r>
      <w:proofErr w:type="spellStart"/>
      <w:r w:rsidR="00E744A2" w:rsidRPr="005E460A">
        <w:rPr>
          <w:rFonts w:ascii="Calibri" w:hAnsi="Calibri" w:cs="Calibri"/>
          <w:lang w:val="de-BE"/>
        </w:rPr>
        <w:t>Emergo</w:t>
      </w:r>
      <w:proofErr w:type="spellEnd"/>
      <w:r w:rsidRPr="006B148A">
        <w:rPr>
          <w:rFonts w:ascii="Calibri" w:hAnsi="Calibri" w:cs="Calibri"/>
          <w:lang w:val="de-BE"/>
        </w:rPr>
        <w:t xml:space="preserve">. </w:t>
      </w:r>
      <w:proofErr w:type="spellStart"/>
      <w:r w:rsidR="008D0C79" w:rsidRPr="005E460A">
        <w:rPr>
          <w:rFonts w:ascii="Calibri" w:hAnsi="Calibri" w:cs="Calibri"/>
          <w:lang w:val="de-BE"/>
        </w:rPr>
        <w:t>Of</w:t>
      </w:r>
      <w:proofErr w:type="spellEnd"/>
      <w:r w:rsidR="008D0C79" w:rsidRPr="005E460A">
        <w:rPr>
          <w:rFonts w:ascii="Calibri" w:hAnsi="Calibri" w:cs="Calibri"/>
          <w:lang w:val="de-BE"/>
        </w:rPr>
        <w:t xml:space="preserve"> </w:t>
      </w:r>
      <w:proofErr w:type="spellStart"/>
      <w:r w:rsidR="008D0C79" w:rsidRPr="005E460A">
        <w:rPr>
          <w:rFonts w:ascii="Calibri" w:hAnsi="Calibri" w:cs="Calibri"/>
          <w:lang w:val="de-BE"/>
        </w:rPr>
        <w:t>those</w:t>
      </w:r>
      <w:proofErr w:type="spellEnd"/>
      <w:r w:rsidRPr="006B148A">
        <w:rPr>
          <w:rFonts w:ascii="Calibri" w:hAnsi="Calibri" w:cs="Calibri"/>
          <w:lang w:val="de-BE"/>
        </w:rPr>
        <w:t xml:space="preserve"> 4.272 </w:t>
      </w:r>
      <w:proofErr w:type="spellStart"/>
      <w:r w:rsidRPr="006B148A">
        <w:rPr>
          <w:rFonts w:ascii="Calibri" w:hAnsi="Calibri" w:cs="Calibri"/>
          <w:lang w:val="de-BE"/>
        </w:rPr>
        <w:t>participants</w:t>
      </w:r>
      <w:proofErr w:type="spellEnd"/>
      <w:r w:rsidRPr="006B148A">
        <w:rPr>
          <w:rFonts w:ascii="Calibri" w:hAnsi="Calibri" w:cs="Calibri"/>
          <w:lang w:val="de-BE"/>
        </w:rPr>
        <w:t xml:space="preserve"> </w:t>
      </w:r>
      <w:proofErr w:type="spellStart"/>
      <w:r w:rsidRPr="006B148A">
        <w:rPr>
          <w:rFonts w:ascii="Calibri" w:hAnsi="Calibri" w:cs="Calibri"/>
          <w:lang w:val="de-BE"/>
        </w:rPr>
        <w:t>were</w:t>
      </w:r>
      <w:proofErr w:type="spellEnd"/>
      <w:r w:rsidRPr="006B148A">
        <w:rPr>
          <w:rFonts w:ascii="Calibri" w:hAnsi="Calibri" w:cs="Calibri"/>
          <w:lang w:val="de-BE"/>
        </w:rPr>
        <w:t xml:space="preserve"> </w:t>
      </w:r>
      <w:proofErr w:type="spellStart"/>
      <w:r w:rsidRPr="006B148A">
        <w:rPr>
          <w:rFonts w:ascii="Calibri" w:hAnsi="Calibri" w:cs="Calibri"/>
          <w:lang w:val="de-BE"/>
        </w:rPr>
        <w:t>successfully</w:t>
      </w:r>
      <w:proofErr w:type="spellEnd"/>
      <w:r w:rsidRPr="006B148A">
        <w:rPr>
          <w:rFonts w:ascii="Calibri" w:hAnsi="Calibri" w:cs="Calibri"/>
          <w:lang w:val="de-BE"/>
        </w:rPr>
        <w:t xml:space="preserve"> </w:t>
      </w:r>
      <w:proofErr w:type="spellStart"/>
      <w:r w:rsidRPr="006B148A">
        <w:rPr>
          <w:rFonts w:ascii="Calibri" w:hAnsi="Calibri" w:cs="Calibri"/>
          <w:lang w:val="de-BE"/>
        </w:rPr>
        <w:t>placed</w:t>
      </w:r>
      <w:proofErr w:type="spellEnd"/>
      <w:r w:rsidRPr="006B148A">
        <w:rPr>
          <w:rFonts w:ascii="Calibri" w:hAnsi="Calibri" w:cs="Calibri"/>
          <w:lang w:val="de-BE"/>
        </w:rPr>
        <w:t xml:space="preserve"> in </w:t>
      </w:r>
      <w:proofErr w:type="spellStart"/>
      <w:r w:rsidRPr="006B148A">
        <w:rPr>
          <w:rFonts w:ascii="Calibri" w:hAnsi="Calibri" w:cs="Calibri"/>
          <w:lang w:val="de-BE"/>
        </w:rPr>
        <w:t>the</w:t>
      </w:r>
      <w:proofErr w:type="spellEnd"/>
      <w:r w:rsidRPr="006B148A">
        <w:rPr>
          <w:rFonts w:ascii="Calibri" w:hAnsi="Calibri" w:cs="Calibri"/>
          <w:lang w:val="de-BE"/>
        </w:rPr>
        <w:t xml:space="preserve"> open </w:t>
      </w:r>
      <w:proofErr w:type="spellStart"/>
      <w:r w:rsidRPr="006B148A">
        <w:rPr>
          <w:rFonts w:ascii="Calibri" w:hAnsi="Calibri" w:cs="Calibri"/>
          <w:lang w:val="de-BE"/>
        </w:rPr>
        <w:t>labour</w:t>
      </w:r>
      <w:proofErr w:type="spellEnd"/>
      <w:r w:rsidRPr="006B148A">
        <w:rPr>
          <w:rFonts w:ascii="Calibri" w:hAnsi="Calibri" w:cs="Calibri"/>
          <w:lang w:val="de-BE"/>
        </w:rPr>
        <w:t xml:space="preserve"> </w:t>
      </w:r>
      <w:proofErr w:type="spellStart"/>
      <w:r w:rsidRPr="006B148A">
        <w:rPr>
          <w:rFonts w:ascii="Calibri" w:hAnsi="Calibri" w:cs="Calibri"/>
          <w:lang w:val="de-BE"/>
        </w:rPr>
        <w:t>market</w:t>
      </w:r>
      <w:proofErr w:type="spellEnd"/>
      <w:r w:rsidR="008D0C79" w:rsidRPr="005E460A">
        <w:rPr>
          <w:rFonts w:ascii="Calibri" w:hAnsi="Calibri" w:cs="Calibri"/>
          <w:lang w:val="de-BE"/>
        </w:rPr>
        <w:t xml:space="preserve">, </w:t>
      </w:r>
      <w:proofErr w:type="spellStart"/>
      <w:r w:rsidRPr="006B148A">
        <w:rPr>
          <w:rFonts w:ascii="Calibri" w:hAnsi="Calibri" w:cs="Calibri"/>
          <w:lang w:val="de-BE"/>
        </w:rPr>
        <w:t>representing</w:t>
      </w:r>
      <w:proofErr w:type="spellEnd"/>
      <w:r w:rsidRPr="006B148A">
        <w:rPr>
          <w:rFonts w:ascii="Calibri" w:hAnsi="Calibri" w:cs="Calibri"/>
          <w:lang w:val="de-BE"/>
        </w:rPr>
        <w:t xml:space="preserve"> a </w:t>
      </w:r>
      <w:r w:rsidR="008D0C79" w:rsidRPr="005E460A">
        <w:rPr>
          <w:rFonts w:ascii="Calibri" w:hAnsi="Calibri" w:cs="Calibri"/>
          <w:lang w:val="de-BE"/>
        </w:rPr>
        <w:t>28</w:t>
      </w:r>
      <w:r w:rsidRPr="006B148A">
        <w:rPr>
          <w:rFonts w:ascii="Calibri" w:hAnsi="Calibri" w:cs="Calibri"/>
          <w:lang w:val="de-BE"/>
        </w:rPr>
        <w:t xml:space="preserve">% </w:t>
      </w:r>
      <w:proofErr w:type="spellStart"/>
      <w:r w:rsidR="008D0C79" w:rsidRPr="005E460A">
        <w:rPr>
          <w:rFonts w:ascii="Calibri" w:hAnsi="Calibri" w:cs="Calibri"/>
          <w:lang w:val="de-BE"/>
        </w:rPr>
        <w:t>success</w:t>
      </w:r>
      <w:proofErr w:type="spellEnd"/>
      <w:r w:rsidR="008D0C79" w:rsidRPr="005E460A">
        <w:rPr>
          <w:rFonts w:ascii="Calibri" w:hAnsi="Calibri" w:cs="Calibri"/>
          <w:lang w:val="de-BE"/>
        </w:rPr>
        <w:t xml:space="preserve"> rate</w:t>
      </w:r>
      <w:r w:rsidRPr="006B148A">
        <w:rPr>
          <w:rFonts w:ascii="Calibri" w:hAnsi="Calibri" w:cs="Calibri"/>
          <w:lang w:val="de-BE"/>
        </w:rPr>
        <w:t>.</w:t>
      </w:r>
      <w:r w:rsidR="004B3801" w:rsidRPr="005E460A">
        <w:rPr>
          <w:rStyle w:val="Funotenzeichen"/>
          <w:rFonts w:ascii="Calibri" w:hAnsi="Calibri" w:cs="Calibri"/>
          <w:lang w:val="de-BE"/>
        </w:rPr>
        <w:footnoteReference w:id="12"/>
      </w:r>
    </w:p>
    <w:p w14:paraId="6A35B355" w14:textId="77777777" w:rsidR="006B148A" w:rsidRPr="005E460A" w:rsidRDefault="006B148A" w:rsidP="00033457">
      <w:pPr>
        <w:spacing w:after="0" w:line="276" w:lineRule="auto"/>
        <w:jc w:val="both"/>
        <w:rPr>
          <w:rFonts w:ascii="Calibri" w:hAnsi="Calibri" w:cs="Calibri"/>
        </w:rPr>
      </w:pPr>
    </w:p>
    <w:p w14:paraId="7E9FCCB0" w14:textId="2F3938D6" w:rsidR="008A683C" w:rsidRPr="005E460A" w:rsidRDefault="003C4BAF" w:rsidP="00033457">
      <w:pPr>
        <w:spacing w:after="0" w:line="276" w:lineRule="auto"/>
        <w:jc w:val="both"/>
        <w:rPr>
          <w:rFonts w:ascii="Calibri" w:hAnsi="Calibri" w:cs="Calibri"/>
        </w:rPr>
      </w:pPr>
      <w:r w:rsidRPr="005E460A">
        <w:rPr>
          <w:rFonts w:ascii="Calibri" w:hAnsi="Calibri" w:cs="Calibri"/>
        </w:rPr>
        <w:t xml:space="preserve">The European Commission study on alternative employment models </w:t>
      </w:r>
      <w:r w:rsidRPr="005E460A">
        <w:rPr>
          <w:rFonts w:ascii="Calibri" w:hAnsi="Calibri" w:cs="Calibri"/>
        </w:rPr>
        <w:t>provides further evidence</w:t>
      </w:r>
      <w:r w:rsidRPr="005E460A">
        <w:rPr>
          <w:rFonts w:ascii="Calibri" w:hAnsi="Calibri" w:cs="Calibri"/>
        </w:rPr>
        <w:t>: A study from Germany found 63% of participants were in employment in the open labour market six months after the end of the intervention, 62% 12 months later, 57% 24 months later. Another, older study followed up with 251 persons mainly with intellectual disabilities more than five years after they had transitioned from sheltered workshops to the open labour market via supported employment. Five years after the initial placement, 65% of the participants were still in employment.</w:t>
      </w:r>
    </w:p>
    <w:p w14:paraId="7A21A8EB" w14:textId="77777777" w:rsidR="006952A1" w:rsidRPr="005E460A" w:rsidRDefault="006952A1" w:rsidP="00033457">
      <w:pPr>
        <w:spacing w:after="0" w:line="276" w:lineRule="auto"/>
        <w:jc w:val="both"/>
        <w:rPr>
          <w:rFonts w:ascii="Calibri" w:hAnsi="Calibri" w:cs="Calibri"/>
        </w:rPr>
      </w:pPr>
    </w:p>
    <w:p w14:paraId="236B6742" w14:textId="7ABBFF55" w:rsidR="00E476EA" w:rsidRPr="005E460A" w:rsidRDefault="001B2318" w:rsidP="008D0869">
      <w:pPr>
        <w:spacing w:after="0" w:line="276" w:lineRule="auto"/>
        <w:jc w:val="both"/>
        <w:rPr>
          <w:rFonts w:ascii="Calibri" w:hAnsi="Calibri" w:cs="Calibri"/>
        </w:rPr>
      </w:pPr>
      <w:r w:rsidRPr="005E460A">
        <w:rPr>
          <w:rFonts w:ascii="Calibri" w:hAnsi="Calibri" w:cs="Calibri"/>
        </w:rPr>
        <w:lastRenderedPageBreak/>
        <w:t xml:space="preserve">According to the EASPD study </w:t>
      </w:r>
      <w:r w:rsidR="00E469DD" w:rsidRPr="005E460A">
        <w:rPr>
          <w:rFonts w:ascii="Calibri" w:hAnsi="Calibri" w:cs="Calibri"/>
        </w:rPr>
        <w:t>“Fostering Employment through sheltered workshops. Reality, Trends, Next Steps”</w:t>
      </w:r>
      <w:r w:rsidR="00E469DD" w:rsidRPr="005E460A">
        <w:rPr>
          <w:rFonts w:ascii="Calibri" w:hAnsi="Calibri" w:cs="Calibri"/>
        </w:rPr>
        <w:t xml:space="preserve"> supported employment programmes </w:t>
      </w:r>
      <w:r w:rsidR="00765155" w:rsidRPr="005E460A">
        <w:rPr>
          <w:rFonts w:ascii="Calibri" w:hAnsi="Calibri" w:cs="Calibri"/>
        </w:rPr>
        <w:t xml:space="preserve">are small because the bulk of available resources is spent on sheltered employment. </w:t>
      </w:r>
      <w:r w:rsidR="002A0DA0" w:rsidRPr="005E460A">
        <w:rPr>
          <w:rFonts w:ascii="Calibri" w:hAnsi="Calibri" w:cs="Calibri"/>
        </w:rPr>
        <w:t xml:space="preserve">Thus, supported employment cannot </w:t>
      </w:r>
      <w:r w:rsidR="008D0869" w:rsidRPr="005E460A">
        <w:rPr>
          <w:rFonts w:ascii="Calibri" w:hAnsi="Calibri" w:cs="Calibri"/>
        </w:rPr>
        <w:t>yet live up to its full potential.</w:t>
      </w:r>
      <w:r w:rsidRPr="005E460A">
        <w:rPr>
          <w:rStyle w:val="Funotenzeichen"/>
          <w:rFonts w:ascii="Calibri" w:hAnsi="Calibri" w:cs="Calibri"/>
        </w:rPr>
        <w:footnoteReference w:id="13"/>
      </w:r>
      <w:r w:rsidR="00A157F5" w:rsidRPr="005E460A">
        <w:rPr>
          <w:rFonts w:ascii="Calibri" w:hAnsi="Calibri" w:cs="Calibri"/>
        </w:rPr>
        <w:t xml:space="preserve"> </w:t>
      </w:r>
    </w:p>
    <w:p w14:paraId="6A650AD8" w14:textId="77777777" w:rsidR="00E476EA" w:rsidRDefault="00E476EA" w:rsidP="00E476EA">
      <w:pPr>
        <w:spacing w:after="0" w:line="276" w:lineRule="auto"/>
        <w:rPr>
          <w:rFonts w:ascii="Calibri" w:hAnsi="Calibri" w:cs="Calibri"/>
        </w:rPr>
      </w:pPr>
    </w:p>
    <w:p w14:paraId="75A4C27E" w14:textId="77777777" w:rsidR="00D80AC3" w:rsidRDefault="00D80AC3" w:rsidP="00E476EA">
      <w:pPr>
        <w:spacing w:after="0" w:line="276" w:lineRule="auto"/>
        <w:rPr>
          <w:rFonts w:ascii="Calibri" w:hAnsi="Calibri" w:cs="Calibri"/>
        </w:rPr>
      </w:pPr>
    </w:p>
    <w:p w14:paraId="2F53C43A" w14:textId="77777777" w:rsidR="00D80AC3" w:rsidRPr="00D80AC3" w:rsidRDefault="00D80AC3" w:rsidP="00D80AC3">
      <w:pPr>
        <w:spacing w:after="0" w:line="276" w:lineRule="auto"/>
        <w:rPr>
          <w:rFonts w:ascii="Calibri" w:hAnsi="Calibri" w:cs="Calibri"/>
          <w:b/>
          <w:color w:val="E76F35"/>
        </w:rPr>
      </w:pPr>
      <w:r w:rsidRPr="00D80AC3">
        <w:rPr>
          <w:rFonts w:ascii="Calibri" w:hAnsi="Calibri" w:cs="Calibri"/>
          <w:b/>
          <w:color w:val="E76F35"/>
        </w:rPr>
        <w:t>The General Block Exemption Regulation and supported employment</w:t>
      </w:r>
    </w:p>
    <w:p w14:paraId="494D71B5" w14:textId="77777777" w:rsidR="00E476EA" w:rsidRPr="005E460A" w:rsidRDefault="00E476EA" w:rsidP="00F832FC">
      <w:pPr>
        <w:spacing w:after="0" w:line="276" w:lineRule="auto"/>
        <w:jc w:val="both"/>
        <w:rPr>
          <w:rFonts w:ascii="Calibri" w:hAnsi="Calibri" w:cs="Calibri"/>
        </w:rPr>
      </w:pPr>
    </w:p>
    <w:p w14:paraId="3B0FFE94" w14:textId="46BD80AE" w:rsidR="00E476EA" w:rsidRPr="005E460A" w:rsidRDefault="00E476EA" w:rsidP="00F832FC">
      <w:pPr>
        <w:spacing w:after="0" w:line="276" w:lineRule="auto"/>
        <w:jc w:val="both"/>
        <w:rPr>
          <w:rFonts w:ascii="Calibri" w:hAnsi="Calibri" w:cs="Calibri"/>
        </w:rPr>
      </w:pPr>
      <w:r w:rsidRPr="005E460A">
        <w:rPr>
          <w:rFonts w:ascii="Calibri" w:hAnsi="Calibri" w:cs="Calibri"/>
        </w:rPr>
        <w:t>The General Block Exemption Regulation (GBER) is one of the cornerstones of the EU legislative acquis on state aid.</w:t>
      </w:r>
      <w:r w:rsidRPr="005E460A">
        <w:rPr>
          <w:rFonts w:ascii="Calibri" w:hAnsi="Calibri" w:cs="Calibri"/>
          <w:vertAlign w:val="superscript"/>
        </w:rPr>
        <w:footnoteReference w:id="14"/>
      </w:r>
      <w:r w:rsidRPr="005E460A">
        <w:rPr>
          <w:rFonts w:ascii="Calibri" w:hAnsi="Calibri" w:cs="Calibri"/>
        </w:rPr>
        <w:t xml:space="preserve"> T</w:t>
      </w:r>
      <w:r w:rsidR="00F1076F" w:rsidRPr="005E460A">
        <w:rPr>
          <w:rFonts w:ascii="Calibri" w:hAnsi="Calibri" w:cs="Calibri"/>
        </w:rPr>
        <w:t>o</w:t>
      </w:r>
      <w:r w:rsidRPr="005E460A">
        <w:rPr>
          <w:rFonts w:ascii="Calibri" w:hAnsi="Calibri" w:cs="Calibri"/>
        </w:rPr>
        <w:t xml:space="preserve"> promote public policy objectives, the General Block Exemption Regulation defines and lists specific sectors and activities for which state aid is permitted and which are exempt from notification requirements. </w:t>
      </w:r>
    </w:p>
    <w:p w14:paraId="6FA634BA" w14:textId="77777777" w:rsidR="00E476EA" w:rsidRPr="005E460A" w:rsidRDefault="00E476EA" w:rsidP="00E476EA">
      <w:pPr>
        <w:spacing w:after="0" w:line="276" w:lineRule="auto"/>
        <w:rPr>
          <w:rFonts w:ascii="Calibri" w:hAnsi="Calibri" w:cs="Calibri"/>
        </w:rPr>
      </w:pPr>
    </w:p>
    <w:p w14:paraId="5641AFEA" w14:textId="77777777" w:rsidR="00E476EA" w:rsidRPr="005E460A" w:rsidRDefault="00E476EA" w:rsidP="00E476EA">
      <w:pPr>
        <w:spacing w:after="0" w:line="276" w:lineRule="auto"/>
        <w:rPr>
          <w:rFonts w:ascii="Calibri" w:hAnsi="Calibri" w:cs="Calibri"/>
        </w:rPr>
      </w:pPr>
      <w:r w:rsidRPr="005E460A">
        <w:rPr>
          <w:rFonts w:ascii="Calibri" w:hAnsi="Calibri" w:cs="Calibri"/>
        </w:rPr>
        <w:t xml:space="preserve">The GBER lists measures to support the employment of disabled people which are in line with General Comment No 8 and the definition provided by </w:t>
      </w:r>
      <w:proofErr w:type="spellStart"/>
      <w:r w:rsidRPr="005E460A">
        <w:rPr>
          <w:rFonts w:ascii="Calibri" w:hAnsi="Calibri" w:cs="Calibri"/>
        </w:rPr>
        <w:t>Eurofound</w:t>
      </w:r>
      <w:proofErr w:type="spellEnd"/>
      <w:r w:rsidRPr="005E460A">
        <w:rPr>
          <w:rFonts w:ascii="Calibri" w:hAnsi="Calibri" w:cs="Calibri"/>
        </w:rPr>
        <w:t xml:space="preserve">: </w:t>
      </w:r>
    </w:p>
    <w:p w14:paraId="0DBE0E0C" w14:textId="77777777" w:rsidR="00AD695D" w:rsidRPr="005E460A" w:rsidRDefault="00AD695D" w:rsidP="00E476EA">
      <w:pPr>
        <w:spacing w:after="0" w:line="276" w:lineRule="auto"/>
        <w:rPr>
          <w:rFonts w:ascii="Calibri" w:hAnsi="Calibri" w:cs="Calibri"/>
        </w:rPr>
      </w:pPr>
    </w:p>
    <w:p w14:paraId="31069706" w14:textId="77777777" w:rsidR="00E476EA" w:rsidRPr="005E460A" w:rsidRDefault="00E476EA" w:rsidP="00E476EA">
      <w:pPr>
        <w:numPr>
          <w:ilvl w:val="0"/>
          <w:numId w:val="1"/>
        </w:numPr>
        <w:spacing w:after="0" w:line="276" w:lineRule="auto"/>
        <w:rPr>
          <w:rFonts w:ascii="Calibri" w:hAnsi="Calibri" w:cs="Calibri"/>
        </w:rPr>
      </w:pPr>
      <w:r w:rsidRPr="005E460A">
        <w:rPr>
          <w:rFonts w:ascii="Calibri" w:hAnsi="Calibri" w:cs="Calibri"/>
        </w:rPr>
        <w:t xml:space="preserve">Wage subsidies </w:t>
      </w:r>
    </w:p>
    <w:p w14:paraId="64DC940C" w14:textId="77777777" w:rsidR="00E476EA" w:rsidRPr="005E460A" w:rsidRDefault="00E476EA" w:rsidP="00E476EA">
      <w:pPr>
        <w:numPr>
          <w:ilvl w:val="0"/>
          <w:numId w:val="1"/>
        </w:numPr>
        <w:spacing w:after="0" w:line="276" w:lineRule="auto"/>
        <w:rPr>
          <w:rFonts w:ascii="Calibri" w:hAnsi="Calibri" w:cs="Calibri"/>
        </w:rPr>
      </w:pPr>
      <w:r w:rsidRPr="005E460A">
        <w:rPr>
          <w:rFonts w:ascii="Calibri" w:hAnsi="Calibri" w:cs="Calibri"/>
        </w:rPr>
        <w:t>Personal assistance at work</w:t>
      </w:r>
    </w:p>
    <w:p w14:paraId="7D288C83" w14:textId="77777777" w:rsidR="00E476EA" w:rsidRPr="005E460A" w:rsidRDefault="00E476EA" w:rsidP="00E476EA">
      <w:pPr>
        <w:numPr>
          <w:ilvl w:val="0"/>
          <w:numId w:val="1"/>
        </w:numPr>
        <w:spacing w:after="0" w:line="276" w:lineRule="auto"/>
        <w:rPr>
          <w:rFonts w:ascii="Calibri" w:hAnsi="Calibri" w:cs="Calibri"/>
        </w:rPr>
      </w:pPr>
      <w:r w:rsidRPr="005E460A">
        <w:rPr>
          <w:rFonts w:ascii="Calibri" w:hAnsi="Calibri" w:cs="Calibri"/>
        </w:rPr>
        <w:t>The Purchase of assistive equipment</w:t>
      </w:r>
    </w:p>
    <w:p w14:paraId="17A37CF9" w14:textId="77777777" w:rsidR="00E476EA" w:rsidRPr="005E460A" w:rsidRDefault="00E476EA" w:rsidP="00E476EA">
      <w:pPr>
        <w:numPr>
          <w:ilvl w:val="0"/>
          <w:numId w:val="1"/>
        </w:numPr>
        <w:spacing w:after="0" w:line="276" w:lineRule="auto"/>
        <w:rPr>
          <w:rFonts w:ascii="Calibri" w:hAnsi="Calibri" w:cs="Calibri"/>
        </w:rPr>
      </w:pPr>
      <w:r w:rsidRPr="005E460A">
        <w:rPr>
          <w:rFonts w:ascii="Calibri" w:hAnsi="Calibri" w:cs="Calibri"/>
        </w:rPr>
        <w:t>Modifications of the built environment</w:t>
      </w:r>
    </w:p>
    <w:p w14:paraId="75FE07D6" w14:textId="77777777" w:rsidR="00E476EA" w:rsidRPr="005E460A" w:rsidRDefault="00E476EA" w:rsidP="00E476EA">
      <w:pPr>
        <w:numPr>
          <w:ilvl w:val="0"/>
          <w:numId w:val="1"/>
        </w:numPr>
        <w:spacing w:after="0" w:line="276" w:lineRule="auto"/>
        <w:rPr>
          <w:rFonts w:ascii="Calibri" w:hAnsi="Calibri" w:cs="Calibri"/>
        </w:rPr>
      </w:pPr>
      <w:r w:rsidRPr="005E460A">
        <w:rPr>
          <w:rFonts w:ascii="Calibri" w:hAnsi="Calibri" w:cs="Calibri"/>
        </w:rPr>
        <w:t>Transport</w:t>
      </w:r>
    </w:p>
    <w:p w14:paraId="2D7FA377" w14:textId="77777777" w:rsidR="00E476EA" w:rsidRPr="005E460A" w:rsidRDefault="00E476EA" w:rsidP="00E476EA">
      <w:pPr>
        <w:numPr>
          <w:ilvl w:val="0"/>
          <w:numId w:val="1"/>
        </w:numPr>
        <w:spacing w:after="0" w:line="276" w:lineRule="auto"/>
        <w:rPr>
          <w:rFonts w:ascii="Calibri" w:hAnsi="Calibri" w:cs="Calibri"/>
        </w:rPr>
      </w:pPr>
      <w:r w:rsidRPr="005E460A">
        <w:rPr>
          <w:rFonts w:ascii="Calibri" w:hAnsi="Calibri" w:cs="Calibri"/>
        </w:rPr>
        <w:t>Rehabilitation</w:t>
      </w:r>
    </w:p>
    <w:p w14:paraId="14AED67D" w14:textId="77777777" w:rsidR="00E476EA" w:rsidRPr="005E460A" w:rsidRDefault="00E476EA" w:rsidP="00E476EA">
      <w:pPr>
        <w:spacing w:after="0" w:line="276" w:lineRule="auto"/>
        <w:rPr>
          <w:rFonts w:ascii="Calibri" w:hAnsi="Calibri" w:cs="Calibri"/>
        </w:rPr>
      </w:pPr>
    </w:p>
    <w:p w14:paraId="1B3A71C0" w14:textId="77777777" w:rsidR="00E476EA" w:rsidRPr="005E460A" w:rsidRDefault="00E476EA" w:rsidP="00E476EA">
      <w:pPr>
        <w:spacing w:after="0" w:line="276" w:lineRule="auto"/>
        <w:rPr>
          <w:rFonts w:ascii="Calibri" w:hAnsi="Calibri" w:cs="Calibri"/>
        </w:rPr>
      </w:pPr>
      <w:r w:rsidRPr="005E460A">
        <w:rPr>
          <w:rFonts w:ascii="Calibri" w:hAnsi="Calibri" w:cs="Calibri"/>
        </w:rPr>
        <w:t xml:space="preserve">It also lists a measure which, according to General Comment No 8 has the be regarded as segregated employment and not in line with the UN CRPD: </w:t>
      </w:r>
    </w:p>
    <w:p w14:paraId="2C2A9FC7" w14:textId="77777777" w:rsidR="00E476EA" w:rsidRPr="005E460A" w:rsidRDefault="00E476EA" w:rsidP="00E476EA">
      <w:pPr>
        <w:spacing w:after="0" w:line="276" w:lineRule="auto"/>
        <w:rPr>
          <w:rFonts w:ascii="Calibri" w:hAnsi="Calibri" w:cs="Calibri"/>
        </w:rPr>
      </w:pPr>
    </w:p>
    <w:p w14:paraId="7A4064A4" w14:textId="77777777" w:rsidR="00E476EA" w:rsidRPr="005E460A" w:rsidRDefault="00E476EA" w:rsidP="00E476EA">
      <w:pPr>
        <w:spacing w:after="0" w:line="276" w:lineRule="auto"/>
        <w:rPr>
          <w:rFonts w:ascii="Calibri" w:hAnsi="Calibri" w:cs="Calibri"/>
          <w:b/>
          <w:bCs/>
          <w:i/>
          <w:iCs/>
        </w:rPr>
      </w:pPr>
      <w:r w:rsidRPr="005E460A">
        <w:rPr>
          <w:rFonts w:ascii="Calibri" w:hAnsi="Calibri" w:cs="Calibri"/>
          <w:b/>
          <w:bCs/>
          <w:i/>
          <w:iCs/>
        </w:rPr>
        <w:t>“</w:t>
      </w:r>
      <w:proofErr w:type="gramStart"/>
      <w:r w:rsidRPr="005E460A">
        <w:rPr>
          <w:rFonts w:ascii="Calibri" w:hAnsi="Calibri" w:cs="Calibri"/>
          <w:b/>
          <w:bCs/>
          <w:i/>
          <w:iCs/>
        </w:rPr>
        <w:t>where</w:t>
      </w:r>
      <w:proofErr w:type="gramEnd"/>
      <w:r w:rsidRPr="005E460A">
        <w:rPr>
          <w:rFonts w:ascii="Calibri" w:hAnsi="Calibri" w:cs="Calibri"/>
          <w:b/>
          <w:bCs/>
          <w:i/>
          <w:iCs/>
        </w:rPr>
        <w:t xml:space="preserve"> the beneficiary provides sheltered employment, the costs of constructing, installing or modernising the production units of the undertaking concerned, and any costs of administration and transport, provided that such costs result directly from the employment of workers with disabilities.”</w:t>
      </w:r>
    </w:p>
    <w:p w14:paraId="4653E67A" w14:textId="77777777" w:rsidR="00BC185F" w:rsidRPr="005E460A" w:rsidRDefault="00BC185F" w:rsidP="00E476EA">
      <w:pPr>
        <w:spacing w:after="0" w:line="276" w:lineRule="auto"/>
        <w:rPr>
          <w:rFonts w:ascii="Calibri" w:hAnsi="Calibri" w:cs="Calibri"/>
        </w:rPr>
      </w:pPr>
    </w:p>
    <w:p w14:paraId="565E2F1A" w14:textId="77777777" w:rsidR="00BC185F" w:rsidRPr="005E460A" w:rsidRDefault="00BC185F" w:rsidP="00E476EA">
      <w:pPr>
        <w:spacing w:after="0" w:line="276" w:lineRule="auto"/>
        <w:rPr>
          <w:rFonts w:ascii="Calibri" w:hAnsi="Calibri" w:cs="Calibri"/>
        </w:rPr>
      </w:pPr>
    </w:p>
    <w:p w14:paraId="01E03979" w14:textId="77777777" w:rsidR="00D80AC3" w:rsidRDefault="00D80AC3" w:rsidP="00D80AC3">
      <w:pPr>
        <w:spacing w:after="0" w:line="276" w:lineRule="auto"/>
        <w:rPr>
          <w:rFonts w:ascii="Calibri" w:hAnsi="Calibri" w:cs="Calibri"/>
          <w:b/>
          <w:color w:val="E76F35"/>
        </w:rPr>
      </w:pPr>
    </w:p>
    <w:p w14:paraId="12921BB1" w14:textId="77777777" w:rsidR="00D80AC3" w:rsidRDefault="00D80AC3" w:rsidP="00D80AC3">
      <w:pPr>
        <w:spacing w:after="0" w:line="276" w:lineRule="auto"/>
        <w:rPr>
          <w:rFonts w:ascii="Calibri" w:hAnsi="Calibri" w:cs="Calibri"/>
          <w:b/>
          <w:color w:val="E76F35"/>
        </w:rPr>
      </w:pPr>
    </w:p>
    <w:p w14:paraId="64555724" w14:textId="77777777" w:rsidR="00D80AC3" w:rsidRDefault="00D80AC3" w:rsidP="00D80AC3">
      <w:pPr>
        <w:spacing w:after="0" w:line="276" w:lineRule="auto"/>
        <w:rPr>
          <w:rFonts w:ascii="Calibri" w:hAnsi="Calibri" w:cs="Calibri"/>
          <w:b/>
          <w:color w:val="E76F35"/>
        </w:rPr>
      </w:pPr>
    </w:p>
    <w:p w14:paraId="55B46DD9" w14:textId="2494F6EE" w:rsidR="00D80AC3" w:rsidRPr="00D80AC3" w:rsidRDefault="00D80AC3" w:rsidP="00E476EA">
      <w:pPr>
        <w:spacing w:before="240" w:after="240"/>
        <w:rPr>
          <w:rFonts w:ascii="Calibri" w:hAnsi="Calibri" w:cs="Calibri"/>
          <w:b/>
          <w:color w:val="E76F35"/>
        </w:rPr>
      </w:pPr>
      <w:r w:rsidRPr="00D80AC3">
        <w:rPr>
          <w:rFonts w:ascii="Calibri" w:hAnsi="Calibri" w:cs="Calibri"/>
          <w:b/>
          <w:color w:val="E76F35"/>
        </w:rPr>
        <w:t>Boosting supported employment by reforming the GBER</w:t>
      </w:r>
    </w:p>
    <w:p w14:paraId="541326EF" w14:textId="4C7418CC" w:rsidR="00E476EA" w:rsidRPr="005E460A" w:rsidRDefault="00E476EA" w:rsidP="003317CC">
      <w:pPr>
        <w:spacing w:after="0" w:line="276" w:lineRule="auto"/>
        <w:jc w:val="both"/>
        <w:rPr>
          <w:rFonts w:ascii="Calibri" w:hAnsi="Calibri" w:cs="Calibri"/>
        </w:rPr>
      </w:pPr>
      <w:r w:rsidRPr="005E460A">
        <w:rPr>
          <w:rFonts w:ascii="Calibri" w:hAnsi="Calibri" w:cs="Calibri"/>
        </w:rPr>
        <w:t>The European Commission is in the process of reforming the GBER.</w:t>
      </w:r>
      <w:r w:rsidRPr="005E460A">
        <w:rPr>
          <w:rFonts w:ascii="Calibri" w:hAnsi="Calibri" w:cs="Calibri"/>
          <w:vertAlign w:val="superscript"/>
        </w:rPr>
        <w:footnoteReference w:id="15"/>
      </w:r>
      <w:r w:rsidRPr="005E460A">
        <w:rPr>
          <w:rFonts w:ascii="Calibri" w:hAnsi="Calibri" w:cs="Calibri"/>
        </w:rPr>
        <w:t xml:space="preserve"> The Commission has published a draft regulation for consultation purposes.</w:t>
      </w:r>
      <w:r w:rsidRPr="005E460A">
        <w:rPr>
          <w:rFonts w:ascii="Calibri" w:hAnsi="Calibri" w:cs="Calibri"/>
          <w:vertAlign w:val="superscript"/>
        </w:rPr>
        <w:footnoteReference w:id="16"/>
      </w:r>
    </w:p>
    <w:p w14:paraId="4B31485D" w14:textId="77777777" w:rsidR="00CA3A9E" w:rsidRPr="005E460A" w:rsidRDefault="00CA3A9E" w:rsidP="003317CC">
      <w:pPr>
        <w:spacing w:after="0" w:line="276" w:lineRule="auto"/>
        <w:jc w:val="both"/>
        <w:rPr>
          <w:rFonts w:ascii="Calibri" w:hAnsi="Calibri" w:cs="Calibri"/>
        </w:rPr>
      </w:pPr>
    </w:p>
    <w:p w14:paraId="3B6B13B9" w14:textId="30894B82" w:rsidR="00E05CAE" w:rsidRPr="005E460A" w:rsidRDefault="00E05CAE" w:rsidP="00E05CAE">
      <w:pPr>
        <w:spacing w:after="0" w:line="276" w:lineRule="auto"/>
        <w:rPr>
          <w:rFonts w:ascii="Calibri" w:hAnsi="Calibri" w:cs="Calibri"/>
        </w:rPr>
      </w:pPr>
      <w:r w:rsidRPr="005E460A">
        <w:rPr>
          <w:rFonts w:ascii="Calibri" w:hAnsi="Calibri" w:cs="Calibri"/>
        </w:rPr>
        <w:t xml:space="preserve">We believe </w:t>
      </w:r>
      <w:r w:rsidRPr="005E460A">
        <w:rPr>
          <w:rFonts w:ascii="Calibri" w:hAnsi="Calibri" w:cs="Calibri"/>
        </w:rPr>
        <w:t xml:space="preserve">that </w:t>
      </w:r>
      <w:r w:rsidR="001418B4" w:rsidRPr="005E460A">
        <w:rPr>
          <w:rFonts w:ascii="Calibri" w:hAnsi="Calibri" w:cs="Calibri"/>
        </w:rPr>
        <w:t xml:space="preserve">simple changes to the GBER could provide a </w:t>
      </w:r>
      <w:proofErr w:type="gramStart"/>
      <w:r w:rsidR="001418B4" w:rsidRPr="005E460A">
        <w:rPr>
          <w:rFonts w:ascii="Calibri" w:hAnsi="Calibri" w:cs="Calibri"/>
        </w:rPr>
        <w:t>much needed</w:t>
      </w:r>
      <w:proofErr w:type="gramEnd"/>
      <w:r w:rsidR="001418B4" w:rsidRPr="005E460A">
        <w:rPr>
          <w:rFonts w:ascii="Calibri" w:hAnsi="Calibri" w:cs="Calibri"/>
        </w:rPr>
        <w:t xml:space="preserve"> boost to supported employment. </w:t>
      </w:r>
    </w:p>
    <w:p w14:paraId="5E8EDD5A" w14:textId="77777777" w:rsidR="00E05CAE" w:rsidRPr="005E460A" w:rsidRDefault="00E05CAE" w:rsidP="003317CC">
      <w:pPr>
        <w:spacing w:after="0" w:line="276" w:lineRule="auto"/>
        <w:jc w:val="both"/>
        <w:rPr>
          <w:rFonts w:ascii="Calibri" w:hAnsi="Calibri" w:cs="Calibri"/>
        </w:rPr>
      </w:pPr>
    </w:p>
    <w:p w14:paraId="001D14B6" w14:textId="7348D199" w:rsidR="00CA3A9E" w:rsidRDefault="00CA3A9E" w:rsidP="00CA3A9E">
      <w:pPr>
        <w:spacing w:after="0" w:line="276" w:lineRule="auto"/>
        <w:rPr>
          <w:rFonts w:ascii="Calibri" w:hAnsi="Calibri" w:cs="Calibri"/>
        </w:rPr>
      </w:pPr>
      <w:r w:rsidRPr="005E460A">
        <w:rPr>
          <w:rFonts w:ascii="Calibri" w:hAnsi="Calibri" w:cs="Calibri"/>
        </w:rPr>
        <w:t xml:space="preserve">In 2024 and 2025, ENIL published policy reports </w:t>
      </w:r>
      <w:r w:rsidR="001418B4" w:rsidRPr="005E460A">
        <w:rPr>
          <w:rFonts w:ascii="Calibri" w:hAnsi="Calibri" w:cs="Calibri"/>
        </w:rPr>
        <w:t>on how</w:t>
      </w:r>
      <w:r w:rsidRPr="005E460A">
        <w:rPr>
          <w:rFonts w:ascii="Calibri" w:hAnsi="Calibri" w:cs="Calibri"/>
        </w:rPr>
        <w:t xml:space="preserve"> changes to the GBER to incentivise greater investments in supported employment </w:t>
      </w:r>
      <w:r w:rsidR="001418B4" w:rsidRPr="005E460A">
        <w:rPr>
          <w:rFonts w:ascii="Calibri" w:hAnsi="Calibri" w:cs="Calibri"/>
        </w:rPr>
        <w:t>could be implemented.</w:t>
      </w:r>
      <w:r w:rsidRPr="005E460A">
        <w:rPr>
          <w:rFonts w:ascii="Calibri" w:hAnsi="Calibri" w:cs="Calibri"/>
        </w:rPr>
        <w:t xml:space="preserve"> </w:t>
      </w:r>
    </w:p>
    <w:p w14:paraId="735634C6" w14:textId="77777777" w:rsidR="00CA3A9E" w:rsidRPr="005E460A" w:rsidRDefault="00CA3A9E" w:rsidP="003317CC">
      <w:pPr>
        <w:spacing w:after="0" w:line="276" w:lineRule="auto"/>
        <w:jc w:val="both"/>
        <w:rPr>
          <w:rFonts w:ascii="Calibri" w:hAnsi="Calibri" w:cs="Calibri"/>
        </w:rPr>
      </w:pPr>
    </w:p>
    <w:p w14:paraId="4C921804" w14:textId="505C65FC" w:rsidR="00CA3A9E" w:rsidRPr="005E460A" w:rsidRDefault="00CA3A9E" w:rsidP="00CA3A9E">
      <w:pPr>
        <w:spacing w:after="0" w:line="276" w:lineRule="auto"/>
        <w:rPr>
          <w:rFonts w:ascii="Calibri" w:hAnsi="Calibri" w:cs="Calibri"/>
          <w:b/>
          <w:color w:val="E76F35"/>
        </w:rPr>
      </w:pPr>
      <w:r w:rsidRPr="005E460A">
        <w:rPr>
          <w:rFonts w:ascii="Calibri" w:hAnsi="Calibri" w:cs="Calibri"/>
          <w:b/>
          <w:color w:val="E76F35"/>
        </w:rPr>
        <w:t>A step in the right direction</w:t>
      </w:r>
    </w:p>
    <w:p w14:paraId="7DC9876C" w14:textId="77777777" w:rsidR="00E476EA" w:rsidRPr="005E460A" w:rsidRDefault="00E476EA" w:rsidP="00E476EA">
      <w:pPr>
        <w:spacing w:after="0" w:line="276" w:lineRule="auto"/>
        <w:rPr>
          <w:rFonts w:ascii="Calibri" w:hAnsi="Calibri" w:cs="Calibri"/>
        </w:rPr>
      </w:pPr>
    </w:p>
    <w:p w14:paraId="541B7188" w14:textId="2FE7BCDE" w:rsidR="00E706DA" w:rsidRPr="005E460A" w:rsidRDefault="005B4A70" w:rsidP="00A00A85">
      <w:pPr>
        <w:spacing w:after="0" w:line="276" w:lineRule="auto"/>
        <w:jc w:val="both"/>
        <w:rPr>
          <w:rFonts w:ascii="Calibri" w:hAnsi="Calibri" w:cs="Calibri"/>
        </w:rPr>
      </w:pPr>
      <w:r w:rsidRPr="005E460A">
        <w:rPr>
          <w:rFonts w:ascii="Calibri" w:hAnsi="Calibri" w:cs="Calibri"/>
        </w:rPr>
        <w:t>Compared to the 2014 GBER</w:t>
      </w:r>
      <w:r w:rsidR="00B01102" w:rsidRPr="005E460A">
        <w:rPr>
          <w:rFonts w:ascii="Calibri" w:hAnsi="Calibri" w:cs="Calibri"/>
        </w:rPr>
        <w:t xml:space="preserve">, the draft regulation foresees </w:t>
      </w:r>
      <w:r w:rsidR="00BD752D" w:rsidRPr="005E460A">
        <w:rPr>
          <w:rFonts w:ascii="Calibri" w:hAnsi="Calibri" w:cs="Calibri"/>
        </w:rPr>
        <w:t xml:space="preserve">a slight increase of the </w:t>
      </w:r>
      <w:r w:rsidR="00C03088" w:rsidRPr="005E460A">
        <w:rPr>
          <w:rFonts w:ascii="Calibri" w:hAnsi="Calibri" w:cs="Calibri"/>
        </w:rPr>
        <w:t>maximal aid intensity</w:t>
      </w:r>
      <w:r w:rsidR="00DE3EA5" w:rsidRPr="005E460A">
        <w:rPr>
          <w:rFonts w:ascii="Calibri" w:hAnsi="Calibri" w:cs="Calibri"/>
        </w:rPr>
        <w:t xml:space="preserve"> for wage subsidies and other costs such as accommodations</w:t>
      </w:r>
      <w:r w:rsidR="00E54454" w:rsidRPr="005E460A">
        <w:rPr>
          <w:rFonts w:ascii="Calibri" w:hAnsi="Calibri" w:cs="Calibri"/>
        </w:rPr>
        <w:t xml:space="preserve"> from EUR 10 million to EUR 11 million.</w:t>
      </w:r>
      <w:r w:rsidR="00E54454" w:rsidRPr="005E460A">
        <w:rPr>
          <w:rStyle w:val="Funotenzeichen"/>
          <w:rFonts w:ascii="Calibri" w:hAnsi="Calibri" w:cs="Calibri"/>
        </w:rPr>
        <w:footnoteReference w:id="17"/>
      </w:r>
    </w:p>
    <w:p w14:paraId="0380D0CD" w14:textId="77777777" w:rsidR="00C03088" w:rsidRPr="005E460A" w:rsidRDefault="00C03088" w:rsidP="00E476EA">
      <w:pPr>
        <w:spacing w:after="0" w:line="276" w:lineRule="auto"/>
        <w:rPr>
          <w:rFonts w:ascii="Calibri" w:hAnsi="Calibri" w:cs="Calibri"/>
        </w:rPr>
      </w:pPr>
    </w:p>
    <w:p w14:paraId="7791D3AB" w14:textId="6D61F107" w:rsidR="00C03088" w:rsidRPr="005E460A" w:rsidRDefault="00362293" w:rsidP="00133129">
      <w:pPr>
        <w:spacing w:after="0" w:line="276" w:lineRule="auto"/>
        <w:jc w:val="both"/>
        <w:rPr>
          <w:rFonts w:ascii="Calibri" w:hAnsi="Calibri" w:cs="Calibri"/>
        </w:rPr>
      </w:pPr>
      <w:r w:rsidRPr="005E460A">
        <w:rPr>
          <w:rFonts w:ascii="Calibri" w:hAnsi="Calibri" w:cs="Calibri"/>
        </w:rPr>
        <w:t>ENIL believes that this is</w:t>
      </w:r>
      <w:r w:rsidR="00133129" w:rsidRPr="005E460A">
        <w:rPr>
          <w:rFonts w:ascii="Calibri" w:hAnsi="Calibri" w:cs="Calibri"/>
        </w:rPr>
        <w:t xml:space="preserve"> for the most part a step in the right direction, sinc</w:t>
      </w:r>
      <w:r w:rsidR="00F8414F" w:rsidRPr="005E460A">
        <w:rPr>
          <w:rFonts w:ascii="Calibri" w:hAnsi="Calibri" w:cs="Calibri"/>
        </w:rPr>
        <w:t xml:space="preserve">e it could encourage national authorities </w:t>
      </w:r>
      <w:r w:rsidR="00CE54B8" w:rsidRPr="005E460A">
        <w:rPr>
          <w:rFonts w:ascii="Calibri" w:hAnsi="Calibri" w:cs="Calibri"/>
        </w:rPr>
        <w:t xml:space="preserve">to increase financial support the measures listed in the GBER that are in line with the UN CRPD. </w:t>
      </w:r>
    </w:p>
    <w:p w14:paraId="010232A0" w14:textId="77777777" w:rsidR="00CE54B8" w:rsidRPr="005E460A" w:rsidRDefault="00CE54B8" w:rsidP="00133129">
      <w:pPr>
        <w:spacing w:after="0" w:line="276" w:lineRule="auto"/>
        <w:jc w:val="both"/>
        <w:rPr>
          <w:rFonts w:ascii="Calibri" w:hAnsi="Calibri" w:cs="Calibri"/>
        </w:rPr>
      </w:pPr>
    </w:p>
    <w:p w14:paraId="217D1879" w14:textId="196E0CBF" w:rsidR="00CE54B8" w:rsidRPr="005E460A" w:rsidRDefault="00CE54B8" w:rsidP="00133129">
      <w:pPr>
        <w:spacing w:after="0" w:line="276" w:lineRule="auto"/>
        <w:jc w:val="both"/>
        <w:rPr>
          <w:rFonts w:ascii="Calibri" w:hAnsi="Calibri" w:cs="Calibri"/>
        </w:rPr>
      </w:pPr>
      <w:r w:rsidRPr="005E460A">
        <w:rPr>
          <w:rFonts w:ascii="Calibri" w:hAnsi="Calibri" w:cs="Calibri"/>
        </w:rPr>
        <w:t>The drawback is, that it could lead to funding increases for sheltered employment as well.</w:t>
      </w:r>
    </w:p>
    <w:p w14:paraId="59EA9DFC" w14:textId="77777777" w:rsidR="00CA3A9E" w:rsidRPr="005E460A" w:rsidRDefault="00CA3A9E" w:rsidP="00E476EA">
      <w:pPr>
        <w:spacing w:after="0" w:line="276" w:lineRule="auto"/>
        <w:rPr>
          <w:rFonts w:ascii="Calibri" w:hAnsi="Calibri" w:cs="Calibri"/>
        </w:rPr>
      </w:pPr>
    </w:p>
    <w:p w14:paraId="3D0DC34C" w14:textId="7B5DDC5C" w:rsidR="00E81792" w:rsidRPr="005E460A" w:rsidRDefault="00E81792" w:rsidP="00E476EA">
      <w:pPr>
        <w:spacing w:after="0" w:line="276" w:lineRule="auto"/>
        <w:rPr>
          <w:rFonts w:ascii="Calibri" w:hAnsi="Calibri" w:cs="Calibri"/>
          <w:b/>
          <w:color w:val="E76F35"/>
        </w:rPr>
      </w:pPr>
      <w:r w:rsidRPr="005E460A">
        <w:rPr>
          <w:rFonts w:ascii="Calibri" w:hAnsi="Calibri" w:cs="Calibri"/>
          <w:b/>
          <w:color w:val="E76F35"/>
        </w:rPr>
        <w:t>Recommendations for change</w:t>
      </w:r>
    </w:p>
    <w:p w14:paraId="70A41D6A" w14:textId="77777777" w:rsidR="00E81792" w:rsidRPr="005E460A" w:rsidRDefault="00E81792" w:rsidP="00E476EA">
      <w:pPr>
        <w:spacing w:after="0" w:line="276" w:lineRule="auto"/>
        <w:rPr>
          <w:rFonts w:ascii="Calibri" w:hAnsi="Calibri" w:cs="Calibri"/>
        </w:rPr>
      </w:pPr>
    </w:p>
    <w:p w14:paraId="7626BC9D" w14:textId="77777777" w:rsidR="004611C3" w:rsidRDefault="00E81792" w:rsidP="00D173E7">
      <w:pPr>
        <w:spacing w:after="0" w:line="276" w:lineRule="auto"/>
        <w:jc w:val="both"/>
        <w:rPr>
          <w:rFonts w:ascii="Calibri" w:hAnsi="Calibri" w:cs="Calibri"/>
        </w:rPr>
      </w:pPr>
      <w:r w:rsidRPr="005E460A">
        <w:rPr>
          <w:rFonts w:ascii="Calibri" w:hAnsi="Calibri" w:cs="Calibri"/>
        </w:rPr>
        <w:t xml:space="preserve">In our </w:t>
      </w:r>
      <w:r w:rsidR="00EA7727" w:rsidRPr="005E460A">
        <w:rPr>
          <w:rFonts w:ascii="Calibri" w:hAnsi="Calibri" w:cs="Calibri"/>
        </w:rPr>
        <w:t>policy reports published in 2024 and 2025</w:t>
      </w:r>
      <w:r w:rsidR="00047C90" w:rsidRPr="005E460A">
        <w:rPr>
          <w:rFonts w:ascii="Calibri" w:hAnsi="Calibri" w:cs="Calibri"/>
        </w:rPr>
        <w:t>,</w:t>
      </w:r>
      <w:r w:rsidR="00EA7727" w:rsidRPr="005E460A">
        <w:rPr>
          <w:rFonts w:ascii="Calibri" w:hAnsi="Calibri" w:cs="Calibri"/>
        </w:rPr>
        <w:t xml:space="preserve"> we</w:t>
      </w:r>
      <w:r w:rsidR="00E476EA" w:rsidRPr="005E460A">
        <w:rPr>
          <w:rFonts w:ascii="Calibri" w:hAnsi="Calibri" w:cs="Calibri"/>
        </w:rPr>
        <w:t xml:space="preserve"> recommended completely removing article 34(f) of the regulation currently in force.</w:t>
      </w:r>
      <w:r w:rsidR="00E476EA" w:rsidRPr="005E460A">
        <w:rPr>
          <w:rFonts w:ascii="Calibri" w:hAnsi="Calibri" w:cs="Calibri"/>
          <w:vertAlign w:val="superscript"/>
        </w:rPr>
        <w:footnoteReference w:id="18"/>
      </w:r>
      <w:r w:rsidR="00D173E7">
        <w:rPr>
          <w:rFonts w:ascii="Calibri" w:hAnsi="Calibri" w:cs="Calibri"/>
        </w:rPr>
        <w:t xml:space="preserve"> </w:t>
      </w:r>
    </w:p>
    <w:p w14:paraId="10177A3E" w14:textId="4B6793F4" w:rsidR="0006542B" w:rsidRDefault="0006542B" w:rsidP="00D173E7">
      <w:pPr>
        <w:spacing w:after="0" w:line="276" w:lineRule="auto"/>
        <w:jc w:val="both"/>
        <w:rPr>
          <w:rFonts w:ascii="Calibri" w:hAnsi="Calibri" w:cs="Calibri"/>
        </w:rPr>
      </w:pPr>
      <w:r>
        <w:rPr>
          <w:rFonts w:ascii="Calibri" w:hAnsi="Calibri" w:cs="Calibri"/>
        </w:rPr>
        <w:lastRenderedPageBreak/>
        <w:t>Article 2 – Definitions</w:t>
      </w:r>
    </w:p>
    <w:p w14:paraId="18E1C044" w14:textId="77777777" w:rsidR="0006542B" w:rsidRDefault="0006542B" w:rsidP="00D173E7">
      <w:pPr>
        <w:spacing w:after="0" w:line="276" w:lineRule="auto"/>
        <w:jc w:val="both"/>
        <w:rPr>
          <w:rFonts w:ascii="Calibri" w:hAnsi="Calibri" w:cs="Calibri"/>
        </w:rPr>
      </w:pPr>
    </w:p>
    <w:tbl>
      <w:tblPr>
        <w:tblStyle w:val="Gitternetztabelle2Akzent1"/>
        <w:tblW w:w="0" w:type="auto"/>
        <w:tblBorders>
          <w:top w:val="none" w:sz="0" w:space="0" w:color="auto"/>
          <w:bottom w:val="none" w:sz="0" w:space="0" w:color="auto"/>
          <w:insideH w:val="none" w:sz="0" w:space="0" w:color="auto"/>
          <w:insideV w:val="none" w:sz="0" w:space="0" w:color="auto"/>
        </w:tblBorders>
        <w:shd w:val="clear" w:color="auto" w:fill="C1E4F5" w:themeFill="accent1" w:themeFillTint="33"/>
        <w:tblLook w:val="04A0" w:firstRow="1" w:lastRow="0" w:firstColumn="1" w:lastColumn="0" w:noHBand="0" w:noVBand="1"/>
      </w:tblPr>
      <w:tblGrid>
        <w:gridCol w:w="4513"/>
        <w:gridCol w:w="4513"/>
      </w:tblGrid>
      <w:tr w:rsidR="0006542B" w:rsidRPr="008D3B8E" w14:paraId="19D72D62" w14:textId="77777777" w:rsidTr="00432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Borders>
              <w:top w:val="none" w:sz="0" w:space="0" w:color="auto"/>
              <w:bottom w:val="none" w:sz="0" w:space="0" w:color="auto"/>
              <w:right w:val="none" w:sz="0" w:space="0" w:color="auto"/>
            </w:tcBorders>
            <w:shd w:val="clear" w:color="auto" w:fill="C1E4F5" w:themeFill="accent1" w:themeFillTint="33"/>
          </w:tcPr>
          <w:p w14:paraId="24B8087F" w14:textId="4B65F0B3" w:rsidR="0006542B" w:rsidRPr="00384385" w:rsidRDefault="0006542B" w:rsidP="00384385">
            <w:pPr>
              <w:snapToGrid w:val="0"/>
              <w:jc w:val="both"/>
              <w:rPr>
                <w:rFonts w:ascii="Calibri" w:hAnsi="Calibri" w:cs="Calibri"/>
              </w:rPr>
            </w:pPr>
            <w:r w:rsidRPr="00384385">
              <w:rPr>
                <w:rFonts w:ascii="Calibri" w:hAnsi="Calibri" w:cs="Calibri"/>
                <w:b w:val="0"/>
                <w:bCs w:val="0"/>
              </w:rPr>
              <w:t>European Commission</w:t>
            </w:r>
          </w:p>
        </w:tc>
        <w:tc>
          <w:tcPr>
            <w:tcW w:w="4513" w:type="dxa"/>
            <w:tcBorders>
              <w:top w:val="none" w:sz="0" w:space="0" w:color="auto"/>
              <w:left w:val="none" w:sz="0" w:space="0" w:color="auto"/>
              <w:bottom w:val="none" w:sz="0" w:space="0" w:color="auto"/>
            </w:tcBorders>
            <w:shd w:val="clear" w:color="auto" w:fill="C1E4F5" w:themeFill="accent1" w:themeFillTint="33"/>
          </w:tcPr>
          <w:p w14:paraId="0E7AD8AD" w14:textId="298D5366" w:rsidR="0006542B" w:rsidRPr="00384385" w:rsidRDefault="0006542B" w:rsidP="00384385">
            <w:pPr>
              <w:snapToGrid w:val="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384385">
              <w:rPr>
                <w:rFonts w:ascii="Calibri" w:hAnsi="Calibri" w:cs="Calibri"/>
                <w:b w:val="0"/>
                <w:bCs w:val="0"/>
              </w:rPr>
              <w:t>Amendment</w:t>
            </w:r>
          </w:p>
        </w:tc>
      </w:tr>
      <w:tr w:rsidR="0006542B" w:rsidRPr="008D3B8E" w14:paraId="020F7C09" w14:textId="77777777" w:rsidTr="00432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14:paraId="6EF4B57B" w14:textId="77777777" w:rsidR="0006542B" w:rsidRPr="00384385" w:rsidRDefault="0006542B" w:rsidP="0006542B">
            <w:pPr>
              <w:snapToGrid w:val="0"/>
              <w:jc w:val="both"/>
              <w:rPr>
                <w:rFonts w:ascii="Calibri" w:hAnsi="Calibri" w:cs="Calibri"/>
                <w:b w:val="0"/>
                <w:bCs w:val="0"/>
              </w:rPr>
            </w:pPr>
          </w:p>
          <w:p w14:paraId="718E9659" w14:textId="19CEDF8C" w:rsidR="0006542B" w:rsidRPr="00384385" w:rsidRDefault="0006542B" w:rsidP="0006542B">
            <w:pPr>
              <w:snapToGrid w:val="0"/>
              <w:jc w:val="both"/>
              <w:rPr>
                <w:rFonts w:ascii="Calibri" w:hAnsi="Calibri" w:cs="Calibri"/>
                <w:b w:val="0"/>
                <w:bCs w:val="0"/>
              </w:rPr>
            </w:pPr>
            <w:r w:rsidRPr="00384385">
              <w:rPr>
                <w:rFonts w:ascii="Calibri" w:hAnsi="Calibri" w:cs="Calibri"/>
                <w:b w:val="0"/>
                <w:bCs w:val="0"/>
              </w:rPr>
              <w:t>‘</w:t>
            </w:r>
            <w:proofErr w:type="gramStart"/>
            <w:r w:rsidRPr="00384385">
              <w:rPr>
                <w:rFonts w:ascii="Calibri" w:hAnsi="Calibri" w:cs="Calibri"/>
                <w:b w:val="0"/>
                <w:bCs w:val="0"/>
              </w:rPr>
              <w:t>sheltered</w:t>
            </w:r>
            <w:proofErr w:type="gramEnd"/>
            <w:r w:rsidRPr="00384385">
              <w:rPr>
                <w:rFonts w:ascii="Calibri" w:hAnsi="Calibri" w:cs="Calibri"/>
                <w:b w:val="0"/>
                <w:bCs w:val="0"/>
              </w:rPr>
              <w:t xml:space="preserve"> employment’ means employment in an undertaking</w:t>
            </w:r>
            <w:r w:rsidRPr="00384385">
              <w:rPr>
                <w:rFonts w:ascii="Calibri" w:hAnsi="Calibri" w:cs="Calibri"/>
                <w:b w:val="0"/>
                <w:bCs w:val="0"/>
              </w:rPr>
              <w:t xml:space="preserve"> </w:t>
            </w:r>
            <w:r w:rsidRPr="00384385">
              <w:rPr>
                <w:rFonts w:ascii="Calibri" w:hAnsi="Calibri" w:cs="Calibri"/>
                <w:b w:val="0"/>
                <w:bCs w:val="0"/>
              </w:rPr>
              <w:t>where at least 30 % of workers are workers with disabilities;</w:t>
            </w:r>
          </w:p>
          <w:p w14:paraId="062AB5E4" w14:textId="77777777" w:rsidR="0006542B" w:rsidRPr="00384385" w:rsidRDefault="0006542B" w:rsidP="0006542B">
            <w:pPr>
              <w:snapToGrid w:val="0"/>
              <w:jc w:val="both"/>
              <w:rPr>
                <w:rFonts w:ascii="Calibri" w:hAnsi="Calibri" w:cs="Calibri"/>
                <w:b w:val="0"/>
                <w:bCs w:val="0"/>
              </w:rPr>
            </w:pPr>
          </w:p>
        </w:tc>
        <w:tc>
          <w:tcPr>
            <w:tcW w:w="4513" w:type="dxa"/>
          </w:tcPr>
          <w:p w14:paraId="2F90B27D" w14:textId="77777777" w:rsidR="0006542B" w:rsidRPr="00384385" w:rsidRDefault="0006542B" w:rsidP="0006542B">
            <w:pPr>
              <w:snapToGrid w:val="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B9A1B21" w14:textId="28C6C2BE" w:rsidR="0006542B" w:rsidRPr="00384385" w:rsidRDefault="0006542B" w:rsidP="0006542B">
            <w:pPr>
              <w:snapToGrid w:val="0"/>
              <w:jc w:val="both"/>
              <w:cnfStyle w:val="000000100000" w:firstRow="0" w:lastRow="0" w:firstColumn="0" w:lastColumn="0" w:oddVBand="0" w:evenVBand="0" w:oddHBand="1" w:evenHBand="0" w:firstRowFirstColumn="0" w:firstRowLastColumn="0" w:lastRowFirstColumn="0" w:lastRowLastColumn="0"/>
              <w:rPr>
                <w:rFonts w:ascii="Calibri" w:hAnsi="Calibri" w:cs="Calibri"/>
                <w:strike/>
              </w:rPr>
            </w:pPr>
            <w:r w:rsidRPr="00384385">
              <w:rPr>
                <w:rFonts w:ascii="Calibri" w:hAnsi="Calibri" w:cs="Calibri"/>
                <w:strike/>
              </w:rPr>
              <w:t>‘</w:t>
            </w:r>
            <w:proofErr w:type="gramStart"/>
            <w:r w:rsidRPr="00384385">
              <w:rPr>
                <w:rFonts w:ascii="Calibri" w:hAnsi="Calibri" w:cs="Calibri"/>
                <w:strike/>
              </w:rPr>
              <w:t>sheltered</w:t>
            </w:r>
            <w:proofErr w:type="gramEnd"/>
            <w:r w:rsidRPr="00384385">
              <w:rPr>
                <w:rFonts w:ascii="Calibri" w:hAnsi="Calibri" w:cs="Calibri"/>
                <w:strike/>
              </w:rPr>
              <w:t xml:space="preserve"> employment’ means employment in an undertaking</w:t>
            </w:r>
            <w:r w:rsidRPr="00384385">
              <w:rPr>
                <w:rFonts w:ascii="Calibri" w:hAnsi="Calibri" w:cs="Calibri"/>
                <w:strike/>
              </w:rPr>
              <w:t xml:space="preserve"> </w:t>
            </w:r>
            <w:r w:rsidRPr="00384385">
              <w:rPr>
                <w:rFonts w:ascii="Calibri" w:hAnsi="Calibri" w:cs="Calibri"/>
                <w:strike/>
              </w:rPr>
              <w:t>where at least 30 % of workers are workers with disabilities;</w:t>
            </w:r>
          </w:p>
        </w:tc>
      </w:tr>
    </w:tbl>
    <w:p w14:paraId="05471527" w14:textId="77777777" w:rsidR="004611C3" w:rsidRDefault="004611C3" w:rsidP="00D173E7">
      <w:pPr>
        <w:spacing w:after="0" w:line="276" w:lineRule="auto"/>
        <w:jc w:val="both"/>
        <w:rPr>
          <w:rFonts w:ascii="Calibri" w:hAnsi="Calibri" w:cs="Calibri"/>
        </w:rPr>
      </w:pPr>
    </w:p>
    <w:p w14:paraId="227E7419" w14:textId="77777777" w:rsidR="00384385" w:rsidRDefault="00384385" w:rsidP="00D173E7">
      <w:pPr>
        <w:spacing w:after="0" w:line="276" w:lineRule="auto"/>
        <w:jc w:val="both"/>
        <w:rPr>
          <w:rFonts w:ascii="Calibri" w:hAnsi="Calibri" w:cs="Calibri"/>
        </w:rPr>
      </w:pPr>
    </w:p>
    <w:p w14:paraId="6283C91D" w14:textId="5B2846E2" w:rsidR="00384385" w:rsidRDefault="00384385" w:rsidP="00D173E7">
      <w:pPr>
        <w:spacing w:after="0" w:line="276" w:lineRule="auto"/>
        <w:jc w:val="both"/>
        <w:rPr>
          <w:rFonts w:ascii="Calibri" w:hAnsi="Calibri" w:cs="Calibri"/>
        </w:rPr>
      </w:pPr>
      <w:r>
        <w:rPr>
          <w:rFonts w:ascii="Calibri" w:hAnsi="Calibri" w:cs="Calibri"/>
        </w:rPr>
        <w:t xml:space="preserve">Article 34 – f </w:t>
      </w:r>
    </w:p>
    <w:p w14:paraId="5A071B67" w14:textId="77777777" w:rsidR="00384385" w:rsidRDefault="00384385" w:rsidP="00D173E7">
      <w:pPr>
        <w:spacing w:after="0" w:line="276" w:lineRule="auto"/>
        <w:jc w:val="both"/>
        <w:rPr>
          <w:rFonts w:ascii="Calibri" w:hAnsi="Calibri" w:cs="Calibr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E4F5" w:themeFill="accent1" w:themeFillTint="33"/>
        <w:tblLook w:val="04A0" w:firstRow="1" w:lastRow="0" w:firstColumn="1" w:lastColumn="0" w:noHBand="0" w:noVBand="1"/>
      </w:tblPr>
      <w:tblGrid>
        <w:gridCol w:w="4508"/>
        <w:gridCol w:w="4508"/>
      </w:tblGrid>
      <w:tr w:rsidR="00384385" w14:paraId="7110CDB7" w14:textId="77777777" w:rsidTr="0043231B">
        <w:tc>
          <w:tcPr>
            <w:tcW w:w="4508" w:type="dxa"/>
            <w:shd w:val="clear" w:color="auto" w:fill="C1E4F5" w:themeFill="accent1" w:themeFillTint="33"/>
          </w:tcPr>
          <w:p w14:paraId="19A3AB9F" w14:textId="48C84F38" w:rsidR="00384385" w:rsidRPr="00384385" w:rsidRDefault="00384385" w:rsidP="00384385">
            <w:pPr>
              <w:spacing w:line="276" w:lineRule="auto"/>
              <w:jc w:val="both"/>
              <w:rPr>
                <w:rFonts w:ascii="Calibri" w:hAnsi="Calibri" w:cs="Calibri"/>
              </w:rPr>
            </w:pPr>
            <w:r w:rsidRPr="00384385">
              <w:rPr>
                <w:rFonts w:ascii="Calibri" w:hAnsi="Calibri" w:cs="Calibri"/>
              </w:rPr>
              <w:t>European Commission</w:t>
            </w:r>
          </w:p>
        </w:tc>
        <w:tc>
          <w:tcPr>
            <w:tcW w:w="4508" w:type="dxa"/>
            <w:shd w:val="clear" w:color="auto" w:fill="C1E4F5" w:themeFill="accent1" w:themeFillTint="33"/>
          </w:tcPr>
          <w:p w14:paraId="36FBB30D" w14:textId="4793F9E0" w:rsidR="00384385" w:rsidRPr="00384385" w:rsidRDefault="00384385" w:rsidP="00384385">
            <w:pPr>
              <w:spacing w:line="276" w:lineRule="auto"/>
              <w:jc w:val="both"/>
              <w:rPr>
                <w:rFonts w:ascii="Calibri" w:hAnsi="Calibri" w:cs="Calibri"/>
              </w:rPr>
            </w:pPr>
            <w:r w:rsidRPr="00384385">
              <w:rPr>
                <w:rFonts w:ascii="Calibri" w:hAnsi="Calibri" w:cs="Calibri"/>
              </w:rPr>
              <w:t>Amendment</w:t>
            </w:r>
          </w:p>
        </w:tc>
      </w:tr>
      <w:tr w:rsidR="00384385" w14:paraId="4F396D99" w14:textId="77777777" w:rsidTr="0043231B">
        <w:tc>
          <w:tcPr>
            <w:tcW w:w="4508" w:type="dxa"/>
            <w:shd w:val="clear" w:color="auto" w:fill="C1E4F5" w:themeFill="accent1" w:themeFillTint="33"/>
          </w:tcPr>
          <w:p w14:paraId="006D9AD7" w14:textId="36600D56" w:rsidR="00384385" w:rsidRPr="00384385" w:rsidRDefault="00384385" w:rsidP="00384385">
            <w:pPr>
              <w:pStyle w:val="Listenabsatz"/>
              <w:numPr>
                <w:ilvl w:val="0"/>
                <w:numId w:val="5"/>
              </w:numPr>
              <w:snapToGrid w:val="0"/>
              <w:spacing w:before="120" w:after="120" w:line="240" w:lineRule="auto"/>
              <w:rPr>
                <w:rFonts w:eastAsiaTheme="minorEastAsia"/>
                <w:b/>
                <w:bCs/>
                <w:sz w:val="24"/>
                <w:lang w:eastAsia="ja-JP"/>
              </w:rPr>
            </w:pPr>
            <w:r w:rsidRPr="00384385">
              <w:rPr>
                <w:rFonts w:eastAsiaTheme="minorEastAsia"/>
                <w:b/>
                <w:bCs/>
                <w:sz w:val="24"/>
                <w:lang w:eastAsia="ja-JP"/>
              </w:rPr>
              <w:t xml:space="preserve">where the beneficiary provides sheltered employment, the costs of constructing, installing or modernising the production units of the undertaking concerned, and any costs of administration and transport, provided that such costs result directly from the employment of workers with disabilities. </w:t>
            </w:r>
          </w:p>
          <w:p w14:paraId="2CB0D713" w14:textId="77777777" w:rsidR="00384385" w:rsidRPr="00384385" w:rsidRDefault="00384385" w:rsidP="00384385">
            <w:pPr>
              <w:spacing w:line="276" w:lineRule="auto"/>
              <w:jc w:val="both"/>
              <w:rPr>
                <w:rFonts w:ascii="Calibri" w:hAnsi="Calibri" w:cs="Calibri"/>
              </w:rPr>
            </w:pPr>
          </w:p>
        </w:tc>
        <w:tc>
          <w:tcPr>
            <w:tcW w:w="4508" w:type="dxa"/>
            <w:shd w:val="clear" w:color="auto" w:fill="C1E4F5" w:themeFill="accent1" w:themeFillTint="33"/>
          </w:tcPr>
          <w:p w14:paraId="07D9D318" w14:textId="77777777" w:rsidR="00384385" w:rsidRPr="00384385" w:rsidRDefault="00384385" w:rsidP="00384385">
            <w:pPr>
              <w:pStyle w:val="Listenabsatz"/>
              <w:numPr>
                <w:ilvl w:val="0"/>
                <w:numId w:val="6"/>
              </w:numPr>
              <w:snapToGrid w:val="0"/>
              <w:spacing w:before="120" w:after="120" w:line="240" w:lineRule="auto"/>
              <w:ind w:right="46"/>
              <w:contextualSpacing w:val="0"/>
              <w:rPr>
                <w:b/>
                <w:bCs/>
                <w:strike/>
                <w:sz w:val="24"/>
              </w:rPr>
            </w:pPr>
            <w:r w:rsidRPr="00384385">
              <w:rPr>
                <w:b/>
                <w:bCs/>
                <w:strike/>
                <w:sz w:val="24"/>
              </w:rPr>
              <w:t xml:space="preserve">where the beneficiary provides sheltered employment, the costs of constructing, installing or modernising the production units of the undertaking concerned, and any costs of administration and transport, provided that such costs result directly from the employment of workers with disabilities. </w:t>
            </w:r>
          </w:p>
          <w:p w14:paraId="1737B578" w14:textId="77777777" w:rsidR="00384385" w:rsidRPr="00384385" w:rsidRDefault="00384385" w:rsidP="00384385">
            <w:pPr>
              <w:spacing w:line="276" w:lineRule="auto"/>
              <w:jc w:val="both"/>
              <w:rPr>
                <w:rFonts w:ascii="Calibri" w:hAnsi="Calibri" w:cs="Calibri"/>
              </w:rPr>
            </w:pPr>
          </w:p>
        </w:tc>
      </w:tr>
    </w:tbl>
    <w:p w14:paraId="7A3F39D8" w14:textId="77777777" w:rsidR="004611C3" w:rsidRDefault="004611C3" w:rsidP="00D173E7">
      <w:pPr>
        <w:spacing w:after="0" w:line="276" w:lineRule="auto"/>
        <w:jc w:val="both"/>
        <w:rPr>
          <w:rFonts w:ascii="Calibri" w:hAnsi="Calibri" w:cs="Calibri"/>
        </w:rPr>
      </w:pPr>
    </w:p>
    <w:p w14:paraId="28E89BF4" w14:textId="77777777" w:rsidR="004611C3" w:rsidRDefault="004611C3" w:rsidP="00D173E7">
      <w:pPr>
        <w:spacing w:after="0" w:line="276" w:lineRule="auto"/>
        <w:jc w:val="both"/>
        <w:rPr>
          <w:rFonts w:ascii="Calibri" w:hAnsi="Calibri" w:cs="Calibri"/>
        </w:rPr>
      </w:pPr>
    </w:p>
    <w:p w14:paraId="21DC8564" w14:textId="256B8561" w:rsidR="00D173E7" w:rsidRDefault="00D173E7" w:rsidP="00D173E7">
      <w:pPr>
        <w:spacing w:after="0" w:line="276" w:lineRule="auto"/>
        <w:jc w:val="both"/>
        <w:rPr>
          <w:rFonts w:ascii="Calibri" w:hAnsi="Calibri" w:cs="Calibri"/>
        </w:rPr>
      </w:pPr>
      <w:r>
        <w:rPr>
          <w:rFonts w:ascii="Calibri" w:hAnsi="Calibri" w:cs="Calibri"/>
        </w:rPr>
        <w:t xml:space="preserve">A recommendation that was supported by the </w:t>
      </w:r>
      <w:r>
        <w:rPr>
          <w:rFonts w:ascii="Calibri" w:hAnsi="Calibri" w:cs="Calibri"/>
        </w:rPr>
        <w:t xml:space="preserve">UN Committee on the Rights of Persons with Disabilities recommended changes: </w:t>
      </w:r>
    </w:p>
    <w:p w14:paraId="23F618EF" w14:textId="77777777" w:rsidR="00D173E7" w:rsidRDefault="00D173E7" w:rsidP="00D173E7">
      <w:pPr>
        <w:spacing w:after="0" w:line="276" w:lineRule="auto"/>
        <w:jc w:val="both"/>
        <w:rPr>
          <w:rFonts w:ascii="Calibri" w:hAnsi="Calibri" w:cs="Calibri"/>
        </w:rPr>
      </w:pPr>
    </w:p>
    <w:p w14:paraId="332746DE" w14:textId="77777777" w:rsidR="00D173E7" w:rsidRPr="00654AC0" w:rsidRDefault="00D173E7" w:rsidP="00D173E7">
      <w:pPr>
        <w:spacing w:after="0" w:line="276" w:lineRule="auto"/>
        <w:jc w:val="both"/>
        <w:rPr>
          <w:rFonts w:ascii="Calibri" w:hAnsi="Calibri" w:cs="Calibri"/>
          <w:i/>
          <w:iCs/>
        </w:rPr>
      </w:pPr>
      <w:r w:rsidRPr="00654AC0">
        <w:rPr>
          <w:rFonts w:ascii="Calibri" w:hAnsi="Calibri" w:cs="Calibri"/>
          <w:i/>
          <w:iCs/>
        </w:rPr>
        <w:t>“65. The Committee recommends that the European Union:</w:t>
      </w:r>
    </w:p>
    <w:p w14:paraId="04D6756A" w14:textId="77777777" w:rsidR="00D173E7" w:rsidRPr="00654AC0" w:rsidRDefault="00D173E7" w:rsidP="00D173E7">
      <w:pPr>
        <w:spacing w:after="0" w:line="276" w:lineRule="auto"/>
        <w:jc w:val="both"/>
        <w:rPr>
          <w:rFonts w:ascii="Calibri" w:hAnsi="Calibri" w:cs="Calibri"/>
          <w:i/>
          <w:iCs/>
        </w:rPr>
      </w:pPr>
    </w:p>
    <w:p w14:paraId="326310EA" w14:textId="77777777" w:rsidR="00D173E7" w:rsidRPr="00654AC0" w:rsidRDefault="00D173E7" w:rsidP="00D173E7">
      <w:pPr>
        <w:spacing w:after="0" w:line="276" w:lineRule="auto"/>
        <w:jc w:val="both"/>
        <w:rPr>
          <w:rFonts w:ascii="Calibri" w:hAnsi="Calibri" w:cs="Calibri"/>
        </w:rPr>
      </w:pPr>
      <w:r w:rsidRPr="00654AC0">
        <w:rPr>
          <w:rFonts w:ascii="Calibri" w:hAnsi="Calibri" w:cs="Calibri"/>
          <w:i/>
          <w:iCs/>
        </w:rPr>
        <w:t>(a) Repeal legislation that allows public financing of segregated forms of employment for persons with disabilities, such as institutions and other segregated facilities, amend Directives 2014/23/EU and 2014/24/EU to remove the possibility of awarding public procurement to such facilities, repeal article 34(2)(f) of the General Block Exemption Regulation (Regulation (EU) No 651/2014), and prohibit State aid of segregated employment;”</w:t>
      </w:r>
      <w:r w:rsidRPr="00654AC0">
        <w:rPr>
          <w:rStyle w:val="Funotenzeichen"/>
          <w:rFonts w:ascii="Calibri" w:hAnsi="Calibri" w:cs="Calibri"/>
        </w:rPr>
        <w:footnoteReference w:id="19"/>
      </w:r>
    </w:p>
    <w:p w14:paraId="773FC976" w14:textId="77777777" w:rsidR="00A1257B" w:rsidRPr="005E460A" w:rsidRDefault="00A1257B" w:rsidP="00E476EA">
      <w:pPr>
        <w:spacing w:after="0" w:line="276" w:lineRule="auto"/>
        <w:rPr>
          <w:rFonts w:ascii="Calibri" w:hAnsi="Calibri" w:cs="Calibri"/>
        </w:rPr>
      </w:pPr>
    </w:p>
    <w:p w14:paraId="3016A5FA" w14:textId="77777777" w:rsidR="00A1257B" w:rsidRPr="005E460A" w:rsidRDefault="00A1257B" w:rsidP="00E476EA">
      <w:pPr>
        <w:spacing w:after="0" w:line="276" w:lineRule="auto"/>
        <w:rPr>
          <w:rFonts w:ascii="Calibri" w:hAnsi="Calibri" w:cs="Calibri"/>
        </w:rPr>
      </w:pPr>
    </w:p>
    <w:p w14:paraId="5EABFA5E" w14:textId="77777777" w:rsidR="00511886" w:rsidRDefault="00511886" w:rsidP="00E476EA">
      <w:pPr>
        <w:spacing w:after="0" w:line="276" w:lineRule="auto"/>
        <w:rPr>
          <w:rFonts w:ascii="Calibri" w:hAnsi="Calibri" w:cs="Calibri"/>
        </w:rPr>
      </w:pPr>
    </w:p>
    <w:p w14:paraId="21C9BA85" w14:textId="7AD49ED8" w:rsidR="00511886" w:rsidRPr="00860E05" w:rsidRDefault="00511886" w:rsidP="00E476EA">
      <w:pPr>
        <w:spacing w:after="0" w:line="276" w:lineRule="auto"/>
        <w:rPr>
          <w:rFonts w:ascii="Calibri" w:hAnsi="Calibri" w:cs="Calibri"/>
          <w:bCs/>
        </w:rPr>
      </w:pPr>
      <w:r w:rsidRPr="00511886">
        <w:rPr>
          <w:rFonts w:ascii="Calibri" w:hAnsi="Calibri" w:cs="Calibri"/>
          <w:bCs/>
        </w:rPr>
        <w:t>In reaction to the draft regulation published for consultation, we are modifying our recommendations</w:t>
      </w:r>
    </w:p>
    <w:p w14:paraId="40E696B4" w14:textId="77777777" w:rsidR="00A1257B" w:rsidRPr="005E460A" w:rsidRDefault="00A1257B" w:rsidP="00E476EA">
      <w:pPr>
        <w:spacing w:after="0" w:line="276" w:lineRule="auto"/>
        <w:rPr>
          <w:rFonts w:ascii="Calibri" w:hAnsi="Calibri" w:cs="Calibri"/>
        </w:rPr>
      </w:pPr>
    </w:p>
    <w:p w14:paraId="041479E0" w14:textId="7C225527" w:rsidR="00CB5A05" w:rsidRPr="005E460A" w:rsidRDefault="00CB5A05" w:rsidP="00E476EA">
      <w:pPr>
        <w:spacing w:after="0" w:line="276" w:lineRule="auto"/>
        <w:rPr>
          <w:rFonts w:ascii="Calibri" w:hAnsi="Calibri" w:cs="Calibri"/>
        </w:rPr>
      </w:pPr>
      <w:r w:rsidRPr="005E460A">
        <w:rPr>
          <w:rFonts w:ascii="Calibri" w:hAnsi="Calibri" w:cs="Calibri"/>
        </w:rPr>
        <w:t xml:space="preserve">Article </w:t>
      </w:r>
      <w:r w:rsidR="00F706BD" w:rsidRPr="005E460A">
        <w:rPr>
          <w:rFonts w:ascii="Calibri" w:hAnsi="Calibri" w:cs="Calibri"/>
        </w:rPr>
        <w:t xml:space="preserve">2 – 108 </w:t>
      </w:r>
    </w:p>
    <w:p w14:paraId="70489FB4" w14:textId="77777777" w:rsidR="00CB5A05" w:rsidRPr="005E460A" w:rsidRDefault="00CB5A05" w:rsidP="00E476EA">
      <w:pPr>
        <w:spacing w:after="0" w:line="276" w:lineRule="auto"/>
        <w:rPr>
          <w:rFonts w:ascii="Calibri" w:hAnsi="Calibri" w:cs="Calibr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E4F5" w:themeFill="accent1" w:themeFillTint="33"/>
        <w:tblLook w:val="04A0" w:firstRow="1" w:lastRow="0" w:firstColumn="1" w:lastColumn="0" w:noHBand="0" w:noVBand="1"/>
      </w:tblPr>
      <w:tblGrid>
        <w:gridCol w:w="4508"/>
        <w:gridCol w:w="4508"/>
      </w:tblGrid>
      <w:tr w:rsidR="00047C90" w:rsidRPr="005E460A" w14:paraId="4A717708" w14:textId="77777777" w:rsidTr="0043231B">
        <w:tc>
          <w:tcPr>
            <w:tcW w:w="4508" w:type="dxa"/>
            <w:shd w:val="clear" w:color="auto" w:fill="C1E4F5" w:themeFill="accent1" w:themeFillTint="33"/>
          </w:tcPr>
          <w:p w14:paraId="07FAF828" w14:textId="28429EB3" w:rsidR="00047C90" w:rsidRPr="005E460A" w:rsidRDefault="00CB5A05" w:rsidP="00E476EA">
            <w:pPr>
              <w:spacing w:line="276" w:lineRule="auto"/>
              <w:rPr>
                <w:rFonts w:ascii="Calibri" w:hAnsi="Calibri" w:cs="Calibri"/>
              </w:rPr>
            </w:pPr>
            <w:r w:rsidRPr="005E460A">
              <w:rPr>
                <w:rFonts w:ascii="Calibri" w:hAnsi="Calibri" w:cs="Calibri"/>
              </w:rPr>
              <w:t>Text proposed by the European Commission</w:t>
            </w:r>
          </w:p>
        </w:tc>
        <w:tc>
          <w:tcPr>
            <w:tcW w:w="4508" w:type="dxa"/>
            <w:shd w:val="clear" w:color="auto" w:fill="C1E4F5" w:themeFill="accent1" w:themeFillTint="33"/>
          </w:tcPr>
          <w:p w14:paraId="420EBCE5" w14:textId="1FE44B1F" w:rsidR="00047C90" w:rsidRPr="005E460A" w:rsidRDefault="00AC4331" w:rsidP="00E476EA">
            <w:pPr>
              <w:spacing w:line="276" w:lineRule="auto"/>
              <w:rPr>
                <w:rFonts w:ascii="Calibri" w:hAnsi="Calibri" w:cs="Calibri"/>
              </w:rPr>
            </w:pPr>
            <w:r w:rsidRPr="005E460A">
              <w:rPr>
                <w:rFonts w:ascii="Calibri" w:hAnsi="Calibri" w:cs="Calibri"/>
              </w:rPr>
              <w:t>Amendment</w:t>
            </w:r>
          </w:p>
        </w:tc>
      </w:tr>
      <w:tr w:rsidR="00047C90" w:rsidRPr="005E460A" w14:paraId="6AFACED4" w14:textId="77777777" w:rsidTr="0043231B">
        <w:tc>
          <w:tcPr>
            <w:tcW w:w="4508" w:type="dxa"/>
            <w:shd w:val="clear" w:color="auto" w:fill="C1E4F5" w:themeFill="accent1" w:themeFillTint="33"/>
          </w:tcPr>
          <w:p w14:paraId="79BF846C" w14:textId="77777777" w:rsidR="00047C90" w:rsidRPr="005E460A" w:rsidRDefault="00047C90" w:rsidP="00E476EA">
            <w:pPr>
              <w:spacing w:line="276" w:lineRule="auto"/>
              <w:rPr>
                <w:rFonts w:ascii="Calibri" w:hAnsi="Calibri" w:cs="Calibri"/>
              </w:rPr>
            </w:pPr>
          </w:p>
          <w:p w14:paraId="7DF03F93" w14:textId="7922758A" w:rsidR="00685D54" w:rsidRPr="005E460A" w:rsidRDefault="00685D54" w:rsidP="00685D54">
            <w:pPr>
              <w:spacing w:line="276" w:lineRule="auto"/>
              <w:jc w:val="both"/>
              <w:rPr>
                <w:rFonts w:ascii="Calibri" w:hAnsi="Calibri" w:cs="Calibri"/>
              </w:rPr>
            </w:pPr>
            <w:r w:rsidRPr="005E460A">
              <w:rPr>
                <w:rFonts w:ascii="Calibri" w:hAnsi="Calibri" w:cs="Calibri"/>
              </w:rPr>
              <w:t>(108) ‘sheltered employment’ means employment in an undertaking where the work</w:t>
            </w:r>
            <w:r w:rsidRPr="005E460A">
              <w:rPr>
                <w:rFonts w:ascii="Calibri" w:hAnsi="Calibri" w:cs="Calibri"/>
              </w:rPr>
              <w:t xml:space="preserve"> </w:t>
            </w:r>
            <w:r w:rsidRPr="005E460A">
              <w:rPr>
                <w:rFonts w:ascii="Calibri" w:hAnsi="Calibri" w:cs="Calibri"/>
              </w:rPr>
              <w:t>arrangements are designed specifically for workers with disabilities, in an</w:t>
            </w:r>
            <w:r w:rsidRPr="005E460A">
              <w:rPr>
                <w:rFonts w:ascii="Calibri" w:hAnsi="Calibri" w:cs="Calibri"/>
              </w:rPr>
              <w:t xml:space="preserve"> </w:t>
            </w:r>
            <w:r w:rsidRPr="005E460A">
              <w:rPr>
                <w:rFonts w:ascii="Calibri" w:hAnsi="Calibri" w:cs="Calibri"/>
              </w:rPr>
              <w:t>environment that engages predominantly with workers with disabilities and that has</w:t>
            </w:r>
            <w:r w:rsidRPr="005E460A">
              <w:rPr>
                <w:rFonts w:ascii="Calibri" w:hAnsi="Calibri" w:cs="Calibri"/>
              </w:rPr>
              <w:t xml:space="preserve"> </w:t>
            </w:r>
            <w:r w:rsidRPr="005E460A">
              <w:rPr>
                <w:rFonts w:ascii="Calibri" w:hAnsi="Calibri" w:cs="Calibri"/>
              </w:rPr>
              <w:t>as its primary objective to offer employment, protection and support to such workers,</w:t>
            </w:r>
            <w:r w:rsidRPr="005E460A">
              <w:rPr>
                <w:rFonts w:ascii="Calibri" w:hAnsi="Calibri" w:cs="Calibri"/>
              </w:rPr>
              <w:t xml:space="preserve"> </w:t>
            </w:r>
            <w:r w:rsidRPr="005E460A">
              <w:rPr>
                <w:rFonts w:ascii="Calibri" w:hAnsi="Calibri" w:cs="Calibri"/>
              </w:rPr>
              <w:t>which are typically not available to them in the open labour market;</w:t>
            </w:r>
          </w:p>
        </w:tc>
        <w:tc>
          <w:tcPr>
            <w:tcW w:w="4508" w:type="dxa"/>
            <w:shd w:val="clear" w:color="auto" w:fill="C1E4F5" w:themeFill="accent1" w:themeFillTint="33"/>
          </w:tcPr>
          <w:p w14:paraId="42768BD4" w14:textId="77777777" w:rsidR="002937DB" w:rsidRPr="005E460A" w:rsidRDefault="002937DB" w:rsidP="00E476EA">
            <w:pPr>
              <w:spacing w:line="276" w:lineRule="auto"/>
              <w:rPr>
                <w:rFonts w:ascii="Calibri" w:hAnsi="Calibri" w:cs="Calibri"/>
              </w:rPr>
            </w:pPr>
          </w:p>
          <w:p w14:paraId="04C3EA29" w14:textId="688C76EE" w:rsidR="002937DB" w:rsidRPr="005E460A" w:rsidRDefault="00AC4331" w:rsidP="00AC4331">
            <w:pPr>
              <w:spacing w:line="276" w:lineRule="auto"/>
              <w:jc w:val="both"/>
              <w:rPr>
                <w:rFonts w:ascii="Calibri" w:hAnsi="Calibri" w:cs="Calibri"/>
              </w:rPr>
            </w:pPr>
            <w:r w:rsidRPr="005E460A">
              <w:rPr>
                <w:rFonts w:ascii="Calibri" w:hAnsi="Calibri" w:cs="Calibri"/>
              </w:rPr>
              <w:t xml:space="preserve">(108) </w:t>
            </w:r>
            <w:r w:rsidR="00CB5A05" w:rsidRPr="005E460A">
              <w:rPr>
                <w:rFonts w:ascii="Calibri" w:hAnsi="Calibri" w:cs="Calibri"/>
              </w:rPr>
              <w:t>‘</w:t>
            </w:r>
            <w:r w:rsidR="00CB5A05" w:rsidRPr="005E460A">
              <w:rPr>
                <w:rFonts w:ascii="Calibri" w:hAnsi="Calibri" w:cs="Calibri"/>
                <w:strike/>
              </w:rPr>
              <w:t>sheltered</w:t>
            </w:r>
            <w:r w:rsidR="00CB5A05" w:rsidRPr="005E460A">
              <w:rPr>
                <w:rFonts w:ascii="Calibri" w:hAnsi="Calibri" w:cs="Calibri"/>
              </w:rPr>
              <w:t xml:space="preserve"> </w:t>
            </w:r>
            <w:r w:rsidR="00CB5A05" w:rsidRPr="009411F4">
              <w:rPr>
                <w:rFonts w:ascii="Calibri" w:hAnsi="Calibri" w:cs="Calibri"/>
                <w:b/>
                <w:bCs/>
                <w:i/>
                <w:iCs/>
              </w:rPr>
              <w:t>supported employment’ refers to measures designed to assist persons with disabilities in accessing and retaining employment or training in the open labour market on a basis equal to others or to assist the employer in employing persons with disabilities. Measures are predominantly provided while the person with disability is working in a position, for example personal assistance at work, job coaching or wage subsidies. Measures provided before a person is working in a position, for example resume or job search assistance or customis</w:t>
            </w:r>
            <w:r w:rsidR="00F1608E">
              <w:rPr>
                <w:rFonts w:ascii="Calibri" w:hAnsi="Calibri" w:cs="Calibri"/>
                <w:b/>
                <w:bCs/>
                <w:i/>
                <w:iCs/>
              </w:rPr>
              <w:t>i</w:t>
            </w:r>
            <w:r w:rsidR="00CB5A05" w:rsidRPr="009411F4">
              <w:rPr>
                <w:rFonts w:ascii="Calibri" w:hAnsi="Calibri" w:cs="Calibri"/>
                <w:b/>
                <w:bCs/>
                <w:i/>
                <w:iCs/>
              </w:rPr>
              <w:t>ng employment must be directly linked to the uptake of work or training. Preparatory jobs in segregated settings are not supported employment.</w:t>
            </w:r>
          </w:p>
        </w:tc>
      </w:tr>
    </w:tbl>
    <w:p w14:paraId="09DA6382" w14:textId="77777777" w:rsidR="00B44848" w:rsidRDefault="00B44848" w:rsidP="00E476EA">
      <w:pPr>
        <w:spacing w:after="0" w:line="276" w:lineRule="auto"/>
        <w:rPr>
          <w:rFonts w:ascii="Calibri" w:hAnsi="Calibri" w:cs="Calibri"/>
        </w:rPr>
      </w:pPr>
    </w:p>
    <w:p w14:paraId="06CD0483" w14:textId="77777777" w:rsidR="00384385" w:rsidRPr="005E460A" w:rsidRDefault="00384385" w:rsidP="00E476EA">
      <w:pPr>
        <w:spacing w:after="0" w:line="276" w:lineRule="auto"/>
        <w:rPr>
          <w:rFonts w:ascii="Calibri" w:hAnsi="Calibri" w:cs="Calibri"/>
        </w:rPr>
      </w:pPr>
    </w:p>
    <w:p w14:paraId="14BE2ED0" w14:textId="1D36D637" w:rsidR="00A10B6C" w:rsidRPr="005E460A" w:rsidRDefault="005E460A" w:rsidP="00E476EA">
      <w:pPr>
        <w:spacing w:after="0" w:line="276" w:lineRule="auto"/>
        <w:rPr>
          <w:rFonts w:ascii="Calibri" w:hAnsi="Calibri" w:cs="Calibri"/>
        </w:rPr>
      </w:pPr>
      <w:r w:rsidRPr="005E460A">
        <w:rPr>
          <w:rFonts w:ascii="Calibri" w:hAnsi="Calibri" w:cs="Calibri"/>
        </w:rPr>
        <w:t>Article 48 Aid for compensating the additional costs of employing workers with disabilities</w:t>
      </w:r>
      <w:r w:rsidR="00EA4101">
        <w:rPr>
          <w:rFonts w:ascii="Calibri" w:hAnsi="Calibri" w:cs="Calibri"/>
        </w:rPr>
        <w:t xml:space="preserve"> </w:t>
      </w:r>
      <w:r w:rsidR="00B44848">
        <w:rPr>
          <w:rFonts w:ascii="Calibri" w:hAnsi="Calibri" w:cs="Calibri"/>
        </w:rPr>
        <w:t>–</w:t>
      </w:r>
      <w:r w:rsidR="00EA4101">
        <w:rPr>
          <w:rFonts w:ascii="Calibri" w:hAnsi="Calibri" w:cs="Calibri"/>
        </w:rPr>
        <w:t xml:space="preserve"> </w:t>
      </w:r>
      <w:r w:rsidR="00B44848">
        <w:rPr>
          <w:rFonts w:ascii="Calibri" w:hAnsi="Calibri" w:cs="Calibri"/>
        </w:rPr>
        <w:t>3(f)</w:t>
      </w:r>
    </w:p>
    <w:p w14:paraId="01072ACF" w14:textId="77777777" w:rsidR="00A10B6C" w:rsidRDefault="00A10B6C" w:rsidP="00E476EA">
      <w:pPr>
        <w:spacing w:after="0" w:line="276"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E4F5" w:themeFill="accent1" w:themeFillTint="33"/>
        <w:tblLook w:val="04A0" w:firstRow="1" w:lastRow="0" w:firstColumn="1" w:lastColumn="0" w:noHBand="0" w:noVBand="1"/>
      </w:tblPr>
      <w:tblGrid>
        <w:gridCol w:w="4508"/>
        <w:gridCol w:w="4508"/>
      </w:tblGrid>
      <w:tr w:rsidR="00AC361D" w14:paraId="6AF43C4E" w14:textId="77777777" w:rsidTr="0043231B">
        <w:tc>
          <w:tcPr>
            <w:tcW w:w="4508" w:type="dxa"/>
            <w:shd w:val="clear" w:color="auto" w:fill="C1E4F5" w:themeFill="accent1" w:themeFillTint="33"/>
          </w:tcPr>
          <w:p w14:paraId="7E162FFA" w14:textId="1229E29F" w:rsidR="00AC361D" w:rsidRPr="00384385" w:rsidRDefault="00AC361D" w:rsidP="00AC361D">
            <w:pPr>
              <w:spacing w:line="276" w:lineRule="auto"/>
              <w:rPr>
                <w:rFonts w:ascii="Calibri" w:hAnsi="Calibri" w:cs="Calibri"/>
              </w:rPr>
            </w:pPr>
            <w:r w:rsidRPr="00384385">
              <w:rPr>
                <w:rFonts w:ascii="Calibri" w:hAnsi="Calibri" w:cs="Calibri"/>
              </w:rPr>
              <w:t>Text proposed by the European Commission</w:t>
            </w:r>
          </w:p>
        </w:tc>
        <w:tc>
          <w:tcPr>
            <w:tcW w:w="4508" w:type="dxa"/>
            <w:shd w:val="clear" w:color="auto" w:fill="C1E4F5" w:themeFill="accent1" w:themeFillTint="33"/>
          </w:tcPr>
          <w:p w14:paraId="343B889A" w14:textId="6BE79878" w:rsidR="00AC361D" w:rsidRPr="00384385" w:rsidRDefault="00AC361D" w:rsidP="00AC361D">
            <w:pPr>
              <w:spacing w:line="276" w:lineRule="auto"/>
              <w:rPr>
                <w:rFonts w:ascii="Calibri" w:hAnsi="Calibri" w:cs="Calibri"/>
              </w:rPr>
            </w:pPr>
            <w:r w:rsidRPr="00384385">
              <w:rPr>
                <w:rFonts w:ascii="Calibri" w:hAnsi="Calibri" w:cs="Calibri"/>
              </w:rPr>
              <w:t>Amendment</w:t>
            </w:r>
          </w:p>
        </w:tc>
      </w:tr>
      <w:tr w:rsidR="00AC361D" w14:paraId="0F4E2B54" w14:textId="77777777" w:rsidTr="0043231B">
        <w:tc>
          <w:tcPr>
            <w:tcW w:w="4508" w:type="dxa"/>
            <w:shd w:val="clear" w:color="auto" w:fill="C1E4F5" w:themeFill="accent1" w:themeFillTint="33"/>
          </w:tcPr>
          <w:p w14:paraId="3BCB5B96" w14:textId="77777777" w:rsidR="00AC361D" w:rsidRPr="00384385" w:rsidRDefault="00AC361D" w:rsidP="00E476EA">
            <w:pPr>
              <w:spacing w:line="276" w:lineRule="auto"/>
              <w:rPr>
                <w:rFonts w:ascii="Calibri" w:hAnsi="Calibri" w:cs="Calibri"/>
              </w:rPr>
            </w:pPr>
          </w:p>
          <w:p w14:paraId="23316BAF" w14:textId="77777777" w:rsidR="00B44848" w:rsidRPr="00384385" w:rsidRDefault="00EA4101" w:rsidP="00B44848">
            <w:pPr>
              <w:spacing w:line="276" w:lineRule="auto"/>
              <w:jc w:val="both"/>
              <w:rPr>
                <w:rFonts w:ascii="Calibri" w:hAnsi="Calibri" w:cs="Calibri"/>
              </w:rPr>
            </w:pPr>
            <w:r w:rsidRPr="00384385">
              <w:rPr>
                <w:rFonts w:ascii="Calibri" w:hAnsi="Calibri" w:cs="Calibri"/>
              </w:rPr>
              <w:t>(f) where the beneficiary provides sheltered employment, the costs of constructing,</w:t>
            </w:r>
            <w:r w:rsidR="00B44848" w:rsidRPr="00384385">
              <w:rPr>
                <w:rFonts w:ascii="Calibri" w:hAnsi="Calibri" w:cs="Calibri"/>
              </w:rPr>
              <w:t xml:space="preserve"> </w:t>
            </w:r>
            <w:r w:rsidRPr="00384385">
              <w:rPr>
                <w:rFonts w:ascii="Calibri" w:hAnsi="Calibri" w:cs="Calibri"/>
              </w:rPr>
              <w:t>installing or modernising the production units of the undertaking concerned, and any</w:t>
            </w:r>
            <w:r w:rsidR="00B44848" w:rsidRPr="00384385">
              <w:rPr>
                <w:rFonts w:ascii="Calibri" w:hAnsi="Calibri" w:cs="Calibri"/>
              </w:rPr>
              <w:t xml:space="preserve"> </w:t>
            </w:r>
            <w:r w:rsidRPr="00384385">
              <w:rPr>
                <w:rFonts w:ascii="Calibri" w:hAnsi="Calibri" w:cs="Calibri"/>
              </w:rPr>
              <w:t xml:space="preserve">costs of administration and transport, provided </w:t>
            </w:r>
            <w:r w:rsidRPr="00384385">
              <w:rPr>
                <w:rFonts w:ascii="Calibri" w:hAnsi="Calibri" w:cs="Calibri"/>
              </w:rPr>
              <w:lastRenderedPageBreak/>
              <w:t>that such costs result directly from the</w:t>
            </w:r>
            <w:r w:rsidR="00B44848" w:rsidRPr="00384385">
              <w:rPr>
                <w:rFonts w:ascii="Calibri" w:hAnsi="Calibri" w:cs="Calibri"/>
              </w:rPr>
              <w:t xml:space="preserve"> </w:t>
            </w:r>
            <w:r w:rsidRPr="00384385">
              <w:rPr>
                <w:rFonts w:ascii="Calibri" w:hAnsi="Calibri" w:cs="Calibri"/>
              </w:rPr>
              <w:t>employment of workers with disabilities.</w:t>
            </w:r>
            <w:r w:rsidR="00B44848" w:rsidRPr="00384385">
              <w:rPr>
                <w:rFonts w:ascii="Calibri" w:hAnsi="Calibri" w:cs="Calibri"/>
              </w:rPr>
              <w:t xml:space="preserve"> </w:t>
            </w:r>
          </w:p>
          <w:p w14:paraId="36712F40" w14:textId="77777777" w:rsidR="00B44848" w:rsidRPr="00384385" w:rsidRDefault="00B44848" w:rsidP="00B44848">
            <w:pPr>
              <w:spacing w:line="276" w:lineRule="auto"/>
              <w:jc w:val="both"/>
              <w:rPr>
                <w:rFonts w:ascii="Calibri" w:hAnsi="Calibri" w:cs="Calibri"/>
              </w:rPr>
            </w:pPr>
          </w:p>
          <w:p w14:paraId="2F2F4654" w14:textId="27DFB97D" w:rsidR="00AC361D" w:rsidRPr="00384385" w:rsidRDefault="00EA4101" w:rsidP="00B44848">
            <w:pPr>
              <w:spacing w:line="276" w:lineRule="auto"/>
              <w:jc w:val="both"/>
              <w:rPr>
                <w:rFonts w:ascii="Calibri" w:hAnsi="Calibri" w:cs="Calibri"/>
              </w:rPr>
            </w:pPr>
            <w:r w:rsidRPr="00384385">
              <w:rPr>
                <w:rFonts w:ascii="Calibri" w:hAnsi="Calibri" w:cs="Calibri"/>
              </w:rPr>
              <w:t>Aid shall not be granted for costs that are covered by the social security system of the</w:t>
            </w:r>
            <w:r w:rsidR="00B44848" w:rsidRPr="00384385">
              <w:rPr>
                <w:rFonts w:ascii="Calibri" w:hAnsi="Calibri" w:cs="Calibri"/>
              </w:rPr>
              <w:t xml:space="preserve"> </w:t>
            </w:r>
            <w:r w:rsidRPr="00384385">
              <w:rPr>
                <w:rFonts w:ascii="Calibri" w:hAnsi="Calibri" w:cs="Calibri"/>
              </w:rPr>
              <w:t>Member State</w:t>
            </w:r>
          </w:p>
          <w:p w14:paraId="36BA7DAA" w14:textId="77777777" w:rsidR="00AC361D" w:rsidRPr="00384385" w:rsidRDefault="00AC361D" w:rsidP="00E476EA">
            <w:pPr>
              <w:spacing w:line="276" w:lineRule="auto"/>
              <w:rPr>
                <w:rFonts w:ascii="Calibri" w:hAnsi="Calibri" w:cs="Calibri"/>
              </w:rPr>
            </w:pPr>
          </w:p>
        </w:tc>
        <w:tc>
          <w:tcPr>
            <w:tcW w:w="4508" w:type="dxa"/>
            <w:shd w:val="clear" w:color="auto" w:fill="C1E4F5" w:themeFill="accent1" w:themeFillTint="33"/>
          </w:tcPr>
          <w:p w14:paraId="45BBABAC" w14:textId="77777777" w:rsidR="00AC361D" w:rsidRPr="00384385" w:rsidRDefault="00AC361D" w:rsidP="009411F4">
            <w:pPr>
              <w:spacing w:line="276" w:lineRule="auto"/>
              <w:jc w:val="both"/>
              <w:rPr>
                <w:rFonts w:ascii="Calibri" w:hAnsi="Calibri" w:cs="Calibri"/>
              </w:rPr>
            </w:pPr>
          </w:p>
          <w:p w14:paraId="0E8C7D48" w14:textId="77777777" w:rsidR="006B3191" w:rsidRPr="00384385" w:rsidRDefault="006B3191" w:rsidP="009411F4">
            <w:pPr>
              <w:spacing w:line="276" w:lineRule="auto"/>
              <w:jc w:val="both"/>
              <w:rPr>
                <w:rFonts w:ascii="Calibri" w:hAnsi="Calibri" w:cs="Calibri"/>
              </w:rPr>
            </w:pPr>
            <w:r w:rsidRPr="00384385">
              <w:rPr>
                <w:rFonts w:ascii="Calibri" w:hAnsi="Calibri" w:cs="Calibri"/>
              </w:rPr>
              <w:t xml:space="preserve">(f) </w:t>
            </w:r>
            <w:r w:rsidRPr="00384385">
              <w:rPr>
                <w:rFonts w:ascii="Calibri" w:hAnsi="Calibri" w:cs="Calibri"/>
              </w:rPr>
              <w:t xml:space="preserve">where the beneficiary provides </w:t>
            </w:r>
            <w:r w:rsidRPr="00384385">
              <w:rPr>
                <w:rFonts w:ascii="Calibri" w:hAnsi="Calibri" w:cs="Calibri"/>
                <w:strike/>
              </w:rPr>
              <w:t>sheltered employment</w:t>
            </w:r>
            <w:r w:rsidRPr="00384385">
              <w:rPr>
                <w:rFonts w:ascii="Calibri" w:hAnsi="Calibri" w:cs="Calibri"/>
              </w:rPr>
              <w:t xml:space="preserve"> </w:t>
            </w:r>
            <w:r w:rsidRPr="00384385">
              <w:rPr>
                <w:rFonts w:ascii="Calibri" w:hAnsi="Calibri" w:cs="Calibri"/>
                <w:b/>
                <w:bCs/>
                <w:i/>
                <w:iCs/>
              </w:rPr>
              <w:t>supported employment</w:t>
            </w:r>
            <w:r w:rsidRPr="00384385">
              <w:rPr>
                <w:rFonts w:ascii="Calibri" w:hAnsi="Calibri" w:cs="Calibri"/>
              </w:rPr>
              <w:t xml:space="preserve">, the costs of constructing, installing or modernising the production units of the undertaking concerned, and any costs of administration </w:t>
            </w:r>
            <w:r w:rsidRPr="00384385">
              <w:rPr>
                <w:rFonts w:ascii="Calibri" w:hAnsi="Calibri" w:cs="Calibri"/>
              </w:rPr>
              <w:lastRenderedPageBreak/>
              <w:t>and transport, provided that such costs result directly from the employment of workers with disabilities.</w:t>
            </w:r>
          </w:p>
          <w:p w14:paraId="54F29C1F" w14:textId="77777777" w:rsidR="0005375A" w:rsidRPr="00384385" w:rsidRDefault="0005375A" w:rsidP="009411F4">
            <w:pPr>
              <w:spacing w:line="276" w:lineRule="auto"/>
              <w:jc w:val="both"/>
              <w:rPr>
                <w:rFonts w:ascii="Calibri" w:hAnsi="Calibri" w:cs="Calibri"/>
              </w:rPr>
            </w:pPr>
          </w:p>
          <w:p w14:paraId="7A5C2853" w14:textId="77777777" w:rsidR="0005375A" w:rsidRPr="00384385" w:rsidRDefault="0005375A" w:rsidP="0005375A">
            <w:pPr>
              <w:spacing w:line="276" w:lineRule="auto"/>
              <w:jc w:val="both"/>
              <w:rPr>
                <w:rFonts w:ascii="Calibri" w:hAnsi="Calibri" w:cs="Calibri"/>
              </w:rPr>
            </w:pPr>
            <w:r w:rsidRPr="00384385">
              <w:rPr>
                <w:rFonts w:ascii="Calibri" w:hAnsi="Calibri" w:cs="Calibri"/>
              </w:rPr>
              <w:t>Aid shall not be granted for costs that are covered by the social security system of the Member State</w:t>
            </w:r>
          </w:p>
          <w:p w14:paraId="2B73AA04" w14:textId="337295A5" w:rsidR="0005375A" w:rsidRPr="00384385" w:rsidRDefault="0005375A" w:rsidP="009411F4">
            <w:pPr>
              <w:spacing w:line="276" w:lineRule="auto"/>
              <w:jc w:val="both"/>
              <w:rPr>
                <w:rFonts w:ascii="Calibri" w:hAnsi="Calibri" w:cs="Calibri"/>
              </w:rPr>
            </w:pPr>
          </w:p>
        </w:tc>
      </w:tr>
    </w:tbl>
    <w:p w14:paraId="08097647" w14:textId="77777777" w:rsidR="00EA7727" w:rsidRPr="00BE79EA" w:rsidRDefault="00EA7727" w:rsidP="00E476EA">
      <w:pPr>
        <w:spacing w:after="0" w:line="276" w:lineRule="auto"/>
      </w:pPr>
    </w:p>
    <w:p w14:paraId="359A5CF3" w14:textId="77777777" w:rsidR="00E476EA" w:rsidRDefault="00E476EA" w:rsidP="00E476EA">
      <w:pPr>
        <w:spacing w:after="0" w:line="276" w:lineRule="auto"/>
      </w:pPr>
    </w:p>
    <w:p w14:paraId="4AE84123" w14:textId="77777777" w:rsidR="00860E05" w:rsidRDefault="00860E05" w:rsidP="00E476EA">
      <w:pPr>
        <w:spacing w:after="0" w:line="276" w:lineRule="auto"/>
      </w:pPr>
    </w:p>
    <w:p w14:paraId="27BCF088" w14:textId="6F04603F" w:rsidR="00C2039B" w:rsidRPr="00860E05" w:rsidRDefault="00D80AC3" w:rsidP="00860E05">
      <w:pPr>
        <w:spacing w:after="0" w:line="276" w:lineRule="auto"/>
        <w:jc w:val="both"/>
        <w:rPr>
          <w:rFonts w:ascii="Calibri" w:hAnsi="Calibri" w:cs="Calibri"/>
          <w:b/>
          <w:color w:val="E76F35"/>
        </w:rPr>
      </w:pPr>
      <w:r w:rsidRPr="00D80AC3">
        <w:rPr>
          <w:rFonts w:ascii="Calibri" w:hAnsi="Calibri" w:cs="Calibri"/>
          <w:b/>
          <w:color w:val="E76F35"/>
        </w:rPr>
        <w:t xml:space="preserve">The use of state for general public policy objectives </w:t>
      </w:r>
    </w:p>
    <w:p w14:paraId="7A72947C" w14:textId="77777777" w:rsidR="00E476EA" w:rsidRPr="00D80AC3" w:rsidRDefault="00E476EA" w:rsidP="00330504">
      <w:pPr>
        <w:spacing w:after="0" w:line="276" w:lineRule="auto"/>
        <w:jc w:val="both"/>
        <w:rPr>
          <w:rFonts w:ascii="Calibri" w:hAnsi="Calibri" w:cs="Calibri"/>
          <w:b/>
          <w:color w:val="E76F35"/>
          <w:sz w:val="28"/>
          <w:szCs w:val="22"/>
        </w:rPr>
      </w:pPr>
    </w:p>
    <w:p w14:paraId="7BC1A623" w14:textId="4DB6694B" w:rsidR="004106A5" w:rsidRDefault="009F4E3D" w:rsidP="00330504">
      <w:pPr>
        <w:jc w:val="both"/>
        <w:rPr>
          <w:rFonts w:ascii="Calibri" w:hAnsi="Calibri" w:cs="Calibri"/>
        </w:rPr>
      </w:pPr>
      <w:r w:rsidRPr="009F4E3D">
        <w:rPr>
          <w:rFonts w:ascii="Calibri" w:hAnsi="Calibri" w:cs="Calibri"/>
        </w:rPr>
        <w:t xml:space="preserve">It is often argued </w:t>
      </w:r>
      <w:r>
        <w:rPr>
          <w:rFonts w:ascii="Calibri" w:hAnsi="Calibri" w:cs="Calibri"/>
        </w:rPr>
        <w:t xml:space="preserve">that EU state aid rules can not </w:t>
      </w:r>
      <w:r w:rsidR="00B81958">
        <w:rPr>
          <w:rFonts w:ascii="Calibri" w:hAnsi="Calibri" w:cs="Calibri"/>
        </w:rPr>
        <w:t xml:space="preserve">be changed </w:t>
      </w:r>
      <w:r w:rsidR="0053585A">
        <w:rPr>
          <w:rFonts w:ascii="Calibri" w:hAnsi="Calibri" w:cs="Calibri"/>
        </w:rPr>
        <w:t xml:space="preserve">to support the employment of disabled people because its sole purpose to regulate competition in the internal market. </w:t>
      </w:r>
    </w:p>
    <w:p w14:paraId="61CA3404" w14:textId="77777777" w:rsidR="00B81B9B" w:rsidRDefault="00607EC6" w:rsidP="00330504">
      <w:pPr>
        <w:jc w:val="both"/>
        <w:rPr>
          <w:rFonts w:ascii="Calibri" w:hAnsi="Calibri" w:cs="Calibri"/>
        </w:rPr>
      </w:pPr>
      <w:r>
        <w:rPr>
          <w:rFonts w:ascii="Calibri" w:hAnsi="Calibri" w:cs="Calibri"/>
        </w:rPr>
        <w:t>The 2012 Services of General Economic Interest</w:t>
      </w:r>
      <w:r w:rsidR="00C61241">
        <w:rPr>
          <w:rFonts w:ascii="Calibri" w:hAnsi="Calibri" w:cs="Calibri"/>
        </w:rPr>
        <w:t xml:space="preserve"> (SGEI)</w:t>
      </w:r>
      <w:r>
        <w:rPr>
          <w:rFonts w:ascii="Calibri" w:hAnsi="Calibri" w:cs="Calibri"/>
        </w:rPr>
        <w:t xml:space="preserve"> Package</w:t>
      </w:r>
      <w:r w:rsidR="008F0FEF">
        <w:rPr>
          <w:rFonts w:ascii="Calibri" w:hAnsi="Calibri" w:cs="Calibri"/>
        </w:rPr>
        <w:t xml:space="preserve">, defined under which conditions services </w:t>
      </w:r>
      <w:r w:rsidR="00D50CF0">
        <w:rPr>
          <w:rFonts w:ascii="Calibri" w:hAnsi="Calibri" w:cs="Calibri"/>
        </w:rPr>
        <w:t>in service of</w:t>
      </w:r>
      <w:r w:rsidR="008F0FEF">
        <w:rPr>
          <w:rFonts w:ascii="Calibri" w:hAnsi="Calibri" w:cs="Calibri"/>
        </w:rPr>
        <w:t xml:space="preserve"> social- or healthcare </w:t>
      </w:r>
      <w:r w:rsidR="00D50CF0">
        <w:rPr>
          <w:rFonts w:ascii="Calibri" w:hAnsi="Calibri" w:cs="Calibri"/>
        </w:rPr>
        <w:t xml:space="preserve">objectives </w:t>
      </w:r>
      <w:r w:rsidR="00907FCD">
        <w:rPr>
          <w:rFonts w:ascii="Calibri" w:hAnsi="Calibri" w:cs="Calibri"/>
        </w:rPr>
        <w:t>are exempt from EU state aid rules.</w:t>
      </w:r>
    </w:p>
    <w:p w14:paraId="5B01E451" w14:textId="77777777" w:rsidR="0094399E" w:rsidRDefault="00E72150" w:rsidP="004C35DF">
      <w:pPr>
        <w:jc w:val="both"/>
        <w:rPr>
          <w:rFonts w:ascii="Calibri" w:hAnsi="Calibri" w:cs="Calibri"/>
        </w:rPr>
      </w:pPr>
      <w:r>
        <w:rPr>
          <w:rFonts w:ascii="Calibri" w:hAnsi="Calibri" w:cs="Calibri"/>
        </w:rPr>
        <w:t>In the EU housing prices and rents are growing faster than income</w:t>
      </w:r>
      <w:r w:rsidR="00BA342E">
        <w:rPr>
          <w:rFonts w:ascii="Calibri" w:hAnsi="Calibri" w:cs="Calibri"/>
        </w:rPr>
        <w:t>s. To improve housing supply and reduce prices an Affordable Housing Plan was adopted.</w:t>
      </w:r>
      <w:r w:rsidR="009B2772">
        <w:rPr>
          <w:rFonts w:ascii="Calibri" w:hAnsi="Calibri" w:cs="Calibri"/>
        </w:rPr>
        <w:t xml:space="preserve"> </w:t>
      </w:r>
      <w:r w:rsidR="005B721F">
        <w:rPr>
          <w:rFonts w:ascii="Calibri" w:hAnsi="Calibri" w:cs="Calibri"/>
        </w:rPr>
        <w:t>As part of t</w:t>
      </w:r>
      <w:r w:rsidR="0094399E">
        <w:rPr>
          <w:rFonts w:ascii="Calibri" w:hAnsi="Calibri" w:cs="Calibri"/>
        </w:rPr>
        <w:t xml:space="preserve">his effort, the decision was taken to reform an important component of that package, the SGEI-decision. </w:t>
      </w:r>
    </w:p>
    <w:p w14:paraId="4F5B0E8F" w14:textId="72A0E2DF" w:rsidR="00B81B9B" w:rsidRDefault="009B2772" w:rsidP="004C35DF">
      <w:pPr>
        <w:jc w:val="both"/>
        <w:rPr>
          <w:rFonts w:ascii="Calibri" w:hAnsi="Calibri" w:cs="Calibri"/>
        </w:rPr>
      </w:pPr>
      <w:r>
        <w:rPr>
          <w:rFonts w:ascii="Calibri" w:hAnsi="Calibri" w:cs="Calibri"/>
        </w:rPr>
        <w:t xml:space="preserve">The plan announced: </w:t>
      </w:r>
    </w:p>
    <w:p w14:paraId="3EDC4B19" w14:textId="31427BD2" w:rsidR="009B2772" w:rsidRDefault="009C70F9" w:rsidP="009C70F9">
      <w:pPr>
        <w:jc w:val="both"/>
        <w:rPr>
          <w:rFonts w:ascii="Calibri" w:hAnsi="Calibri" w:cs="Calibri"/>
          <w:i/>
          <w:iCs/>
        </w:rPr>
      </w:pPr>
      <w:r>
        <w:rPr>
          <w:rFonts w:ascii="Calibri" w:hAnsi="Calibri" w:cs="Calibri"/>
          <w:i/>
          <w:iCs/>
        </w:rPr>
        <w:t>“</w:t>
      </w:r>
      <w:r w:rsidRPr="009C70F9">
        <w:rPr>
          <w:rFonts w:ascii="Calibri" w:hAnsi="Calibri" w:cs="Calibri"/>
          <w:i/>
          <w:iCs/>
        </w:rPr>
        <w:t>To facilitate support for affordable housing for low- and middle-income households, including</w:t>
      </w:r>
      <w:r w:rsidRPr="009C70F9">
        <w:rPr>
          <w:rFonts w:ascii="Calibri" w:hAnsi="Calibri" w:cs="Calibri"/>
          <w:i/>
          <w:iCs/>
        </w:rPr>
        <w:t xml:space="preserve"> </w:t>
      </w:r>
      <w:r w:rsidRPr="009C70F9">
        <w:rPr>
          <w:rFonts w:ascii="Calibri" w:hAnsi="Calibri" w:cs="Calibri"/>
          <w:i/>
          <w:iCs/>
        </w:rPr>
        <w:t>essential workers, households with specific family circumstances, persons with disabilities</w:t>
      </w:r>
      <w:r w:rsidRPr="009C70F9">
        <w:rPr>
          <w:rFonts w:ascii="Calibri" w:hAnsi="Calibri" w:cs="Calibri"/>
          <w:i/>
          <w:iCs/>
        </w:rPr>
        <w:t xml:space="preserve"> </w:t>
      </w:r>
      <w:r w:rsidRPr="009C70F9">
        <w:rPr>
          <w:rFonts w:ascii="Calibri" w:hAnsi="Calibri" w:cs="Calibri"/>
          <w:i/>
          <w:iCs/>
        </w:rPr>
        <w:t>and students, the Commission has decided to revise the SGEI Decision. While this decision</w:t>
      </w:r>
      <w:r w:rsidRPr="009C70F9">
        <w:rPr>
          <w:rFonts w:ascii="Calibri" w:hAnsi="Calibri" w:cs="Calibri"/>
          <w:i/>
          <w:iCs/>
        </w:rPr>
        <w:t xml:space="preserve"> </w:t>
      </w:r>
      <w:r w:rsidRPr="009C70F9">
        <w:rPr>
          <w:rFonts w:ascii="Calibri" w:hAnsi="Calibri" w:cs="Calibri"/>
          <w:i/>
          <w:iCs/>
        </w:rPr>
        <w:t>leaves the rules for social housing support fundamentally unchanged, it expressly includes a</w:t>
      </w:r>
      <w:r w:rsidRPr="009C70F9">
        <w:rPr>
          <w:rFonts w:ascii="Calibri" w:hAnsi="Calibri" w:cs="Calibri"/>
          <w:i/>
          <w:iCs/>
        </w:rPr>
        <w:t xml:space="preserve"> </w:t>
      </w:r>
      <w:r w:rsidRPr="009C70F9">
        <w:rPr>
          <w:rFonts w:ascii="Calibri" w:hAnsi="Calibri" w:cs="Calibri"/>
          <w:i/>
          <w:iCs/>
        </w:rPr>
        <w:t>new category of affordable housing among the categories exempted from notification for</w:t>
      </w:r>
      <w:r w:rsidRPr="009C70F9">
        <w:rPr>
          <w:rFonts w:ascii="Calibri" w:hAnsi="Calibri" w:cs="Calibri"/>
          <w:i/>
          <w:iCs/>
        </w:rPr>
        <w:t xml:space="preserve"> </w:t>
      </w:r>
      <w:r w:rsidRPr="009C70F9">
        <w:rPr>
          <w:rFonts w:ascii="Calibri" w:hAnsi="Calibri" w:cs="Calibri"/>
          <w:i/>
          <w:iCs/>
        </w:rPr>
        <w:t>which there is no maximum compensation cap. In this way, Member States can maintain their</w:t>
      </w:r>
      <w:r w:rsidRPr="009C70F9">
        <w:rPr>
          <w:rFonts w:ascii="Calibri" w:hAnsi="Calibri" w:cs="Calibri"/>
          <w:i/>
          <w:iCs/>
        </w:rPr>
        <w:t xml:space="preserve"> </w:t>
      </w:r>
      <w:r w:rsidRPr="009C70F9">
        <w:rPr>
          <w:rFonts w:ascii="Calibri" w:hAnsi="Calibri" w:cs="Calibri"/>
          <w:i/>
          <w:iCs/>
        </w:rPr>
        <w:t>existing social housing schemes and create additional affordable housing schemes for other</w:t>
      </w:r>
      <w:r w:rsidRPr="009C70F9">
        <w:rPr>
          <w:rFonts w:ascii="Calibri" w:hAnsi="Calibri" w:cs="Calibri"/>
          <w:i/>
          <w:iCs/>
        </w:rPr>
        <w:t xml:space="preserve"> </w:t>
      </w:r>
      <w:r w:rsidRPr="009C70F9">
        <w:rPr>
          <w:rFonts w:ascii="Calibri" w:hAnsi="Calibri" w:cs="Calibri"/>
          <w:i/>
          <w:iCs/>
        </w:rPr>
        <w:t>target groups.</w:t>
      </w:r>
      <w:r>
        <w:rPr>
          <w:rFonts w:ascii="Calibri" w:hAnsi="Calibri" w:cs="Calibri"/>
          <w:i/>
          <w:iCs/>
        </w:rPr>
        <w:t>”</w:t>
      </w:r>
      <w:r w:rsidR="006D096C">
        <w:rPr>
          <w:rStyle w:val="Funotenzeichen"/>
          <w:rFonts w:ascii="Calibri" w:hAnsi="Calibri" w:cs="Calibri"/>
          <w:i/>
          <w:iCs/>
        </w:rPr>
        <w:footnoteReference w:id="20"/>
      </w:r>
    </w:p>
    <w:p w14:paraId="728FF38D" w14:textId="77777777" w:rsidR="0094399E" w:rsidRDefault="0094399E" w:rsidP="009C70F9">
      <w:pPr>
        <w:jc w:val="both"/>
        <w:rPr>
          <w:rFonts w:ascii="Calibri" w:hAnsi="Calibri" w:cs="Calibri"/>
          <w:i/>
          <w:iCs/>
        </w:rPr>
      </w:pPr>
    </w:p>
    <w:p w14:paraId="0ABF72D6" w14:textId="77777777" w:rsidR="0094399E" w:rsidRPr="009C70F9" w:rsidRDefault="0094399E" w:rsidP="009C70F9">
      <w:pPr>
        <w:jc w:val="both"/>
        <w:rPr>
          <w:rFonts w:ascii="Calibri" w:hAnsi="Calibri" w:cs="Calibri"/>
          <w:i/>
          <w:iCs/>
        </w:rPr>
      </w:pPr>
    </w:p>
    <w:p w14:paraId="72842409" w14:textId="7CE82731" w:rsidR="00FC7AF7" w:rsidRDefault="005B721F" w:rsidP="004C35DF">
      <w:pPr>
        <w:jc w:val="both"/>
        <w:rPr>
          <w:rFonts w:ascii="Calibri" w:hAnsi="Calibri" w:cs="Calibri"/>
        </w:rPr>
      </w:pPr>
      <w:r>
        <w:rPr>
          <w:rFonts w:ascii="Calibri" w:hAnsi="Calibri" w:cs="Calibri"/>
        </w:rPr>
        <w:lastRenderedPageBreak/>
        <w:t>Already in</w:t>
      </w:r>
      <w:r w:rsidR="00871D32">
        <w:rPr>
          <w:rFonts w:ascii="Calibri" w:hAnsi="Calibri" w:cs="Calibri"/>
        </w:rPr>
        <w:t xml:space="preserve"> December 2025, </w:t>
      </w:r>
      <w:r w:rsidR="00C61241">
        <w:rPr>
          <w:rFonts w:ascii="Calibri" w:hAnsi="Calibri" w:cs="Calibri"/>
        </w:rPr>
        <w:t xml:space="preserve">the </w:t>
      </w:r>
      <w:r w:rsidR="0094399E">
        <w:rPr>
          <w:rFonts w:ascii="Calibri" w:hAnsi="Calibri" w:cs="Calibri"/>
        </w:rPr>
        <w:t xml:space="preserve">reform of the </w:t>
      </w:r>
      <w:r w:rsidR="00C61241">
        <w:rPr>
          <w:rFonts w:ascii="Calibri" w:hAnsi="Calibri" w:cs="Calibri"/>
        </w:rPr>
        <w:t>SGEI-decision</w:t>
      </w:r>
      <w:r w:rsidR="0094399E">
        <w:rPr>
          <w:rFonts w:ascii="Calibri" w:hAnsi="Calibri" w:cs="Calibri"/>
        </w:rPr>
        <w:t xml:space="preserve"> </w:t>
      </w:r>
      <w:r w:rsidR="006F1A2F">
        <w:rPr>
          <w:rFonts w:ascii="Calibri" w:hAnsi="Calibri" w:cs="Calibri"/>
        </w:rPr>
        <w:t>was adopted.</w:t>
      </w:r>
      <w:r w:rsidR="009E66FE">
        <w:rPr>
          <w:rStyle w:val="Funotenzeichen"/>
          <w:rFonts w:ascii="Calibri" w:hAnsi="Calibri" w:cs="Calibri"/>
        </w:rPr>
        <w:footnoteReference w:id="21"/>
      </w:r>
      <w:r w:rsidR="006F1A2F">
        <w:rPr>
          <w:rFonts w:ascii="Calibri" w:hAnsi="Calibri" w:cs="Calibri"/>
        </w:rPr>
        <w:t xml:space="preserve"> </w:t>
      </w:r>
      <w:r w:rsidR="00D31A39">
        <w:rPr>
          <w:rFonts w:ascii="Calibri" w:hAnsi="Calibri" w:cs="Calibri"/>
        </w:rPr>
        <w:t>The Directorate-General for Competition</w:t>
      </w:r>
      <w:r w:rsidR="00FC7AF7">
        <w:rPr>
          <w:rFonts w:ascii="Calibri" w:hAnsi="Calibri" w:cs="Calibri"/>
        </w:rPr>
        <w:t xml:space="preserve"> gave the following justification for the decision: </w:t>
      </w:r>
    </w:p>
    <w:p w14:paraId="63BD39D7" w14:textId="4D3A7A33" w:rsidR="00FC7AF7" w:rsidRDefault="00EC06D2" w:rsidP="004C35DF">
      <w:pPr>
        <w:jc w:val="both"/>
        <w:rPr>
          <w:rFonts w:ascii="Calibri" w:hAnsi="Calibri" w:cs="Calibri"/>
        </w:rPr>
      </w:pPr>
      <w:r>
        <w:rPr>
          <w:rFonts w:ascii="Calibri" w:hAnsi="Calibri" w:cs="Calibri"/>
        </w:rPr>
        <w:t>“</w:t>
      </w:r>
      <w:r w:rsidRPr="00EC06D2">
        <w:rPr>
          <w:rFonts w:ascii="Calibri" w:hAnsi="Calibri" w:cs="Calibri"/>
          <w:i/>
          <w:iCs/>
        </w:rPr>
        <w:t>Moreover, the SGEI Decision has been modified on 16 December 2025, with the primary aim of clarifying the concept of social housing and to offer Member States an option to support affordable housing in a faster and simpler way. This initiative contributes to the Commission’s efforts to address European citizens' housing needs and constitutes one component of the European Affordable Housing Plan. The revision of the SGEI rules aims to address challenges related to housing affordability that go beyond social housing. To that end, the updated State aid rules facilitate investments in affordable housing at national, regional and local level.</w:t>
      </w:r>
      <w:r>
        <w:rPr>
          <w:rFonts w:ascii="Calibri" w:hAnsi="Calibri" w:cs="Calibri"/>
        </w:rPr>
        <w:t>”</w:t>
      </w:r>
    </w:p>
    <w:p w14:paraId="450DEFBB" w14:textId="77777777" w:rsidR="00A16D34" w:rsidRDefault="00A16D34" w:rsidP="004C35DF">
      <w:pPr>
        <w:jc w:val="both"/>
        <w:rPr>
          <w:rFonts w:ascii="Calibri" w:hAnsi="Calibri" w:cs="Calibri"/>
        </w:rPr>
      </w:pPr>
    </w:p>
    <w:p w14:paraId="7F579501" w14:textId="3EF9A853" w:rsidR="00A16D34" w:rsidRDefault="00A16D34" w:rsidP="004C35DF">
      <w:pPr>
        <w:jc w:val="both"/>
        <w:rPr>
          <w:rFonts w:ascii="Calibri" w:hAnsi="Calibri" w:cs="Calibri"/>
        </w:rPr>
      </w:pPr>
      <w:r>
        <w:rPr>
          <w:rFonts w:ascii="Calibri" w:hAnsi="Calibri" w:cs="Calibri"/>
        </w:rPr>
        <w:t xml:space="preserve">These quotes show clearly that state aid is </w:t>
      </w:r>
      <w:r w:rsidR="00CC5DF1">
        <w:rPr>
          <w:rFonts w:ascii="Calibri" w:hAnsi="Calibri" w:cs="Calibri"/>
        </w:rPr>
        <w:t xml:space="preserve">used </w:t>
      </w:r>
      <w:r w:rsidR="002E76F4">
        <w:rPr>
          <w:rFonts w:ascii="Calibri" w:hAnsi="Calibri" w:cs="Calibri"/>
        </w:rPr>
        <w:t>to support other objectives than regulating competition</w:t>
      </w:r>
      <w:r w:rsidR="00760142">
        <w:rPr>
          <w:rFonts w:ascii="Calibri" w:hAnsi="Calibri" w:cs="Calibri"/>
        </w:rPr>
        <w:t xml:space="preserve"> in general and to support social objectives in particular. </w:t>
      </w:r>
    </w:p>
    <w:p w14:paraId="48F0B1E9" w14:textId="77777777" w:rsidR="0053585A" w:rsidRPr="009F4E3D" w:rsidRDefault="0053585A" w:rsidP="004C35DF">
      <w:pPr>
        <w:jc w:val="both"/>
        <w:rPr>
          <w:rFonts w:ascii="Calibri" w:hAnsi="Calibri" w:cs="Calibri"/>
        </w:rPr>
      </w:pPr>
    </w:p>
    <w:p w14:paraId="20480005" w14:textId="77777777" w:rsidR="004106A5" w:rsidRPr="009F4E3D" w:rsidRDefault="004106A5" w:rsidP="004C35DF">
      <w:pPr>
        <w:jc w:val="both"/>
        <w:rPr>
          <w:rFonts w:ascii="Calibri" w:hAnsi="Calibri" w:cs="Calibri"/>
        </w:rPr>
      </w:pPr>
    </w:p>
    <w:p w14:paraId="7188D3E7" w14:textId="77777777" w:rsidR="004106A5" w:rsidRPr="009F4E3D" w:rsidRDefault="004106A5" w:rsidP="004C35DF">
      <w:pPr>
        <w:jc w:val="both"/>
        <w:rPr>
          <w:rFonts w:ascii="Calibri" w:hAnsi="Calibri" w:cs="Calibri"/>
        </w:rPr>
      </w:pPr>
    </w:p>
    <w:p w14:paraId="20827965" w14:textId="77777777" w:rsidR="004106A5" w:rsidRPr="009F4E3D" w:rsidRDefault="004106A5" w:rsidP="004C35DF">
      <w:pPr>
        <w:jc w:val="both"/>
        <w:rPr>
          <w:rFonts w:ascii="Calibri" w:hAnsi="Calibri" w:cs="Calibri"/>
        </w:rPr>
      </w:pPr>
    </w:p>
    <w:p w14:paraId="398B81D5" w14:textId="77777777" w:rsidR="004106A5" w:rsidRPr="009F4E3D" w:rsidRDefault="004106A5" w:rsidP="004C35DF">
      <w:pPr>
        <w:jc w:val="both"/>
        <w:rPr>
          <w:rFonts w:ascii="Calibri" w:hAnsi="Calibri" w:cs="Calibri"/>
        </w:rPr>
      </w:pPr>
    </w:p>
    <w:p w14:paraId="0B816E56" w14:textId="77777777" w:rsidR="004106A5" w:rsidRPr="009F4E3D" w:rsidRDefault="004106A5" w:rsidP="004C35DF">
      <w:pPr>
        <w:jc w:val="both"/>
        <w:rPr>
          <w:rFonts w:ascii="Calibri" w:hAnsi="Calibri" w:cs="Calibri"/>
        </w:rPr>
      </w:pPr>
    </w:p>
    <w:p w14:paraId="6BF43954" w14:textId="77777777" w:rsidR="004106A5" w:rsidRPr="009F4E3D" w:rsidRDefault="004106A5" w:rsidP="004C35DF">
      <w:pPr>
        <w:jc w:val="both"/>
        <w:rPr>
          <w:rFonts w:ascii="Calibri" w:hAnsi="Calibri" w:cs="Calibri"/>
        </w:rPr>
      </w:pPr>
    </w:p>
    <w:p w14:paraId="54578894" w14:textId="77777777" w:rsidR="004106A5" w:rsidRPr="009F4E3D" w:rsidRDefault="004106A5" w:rsidP="004C35DF">
      <w:pPr>
        <w:jc w:val="both"/>
        <w:rPr>
          <w:rFonts w:ascii="Calibri" w:hAnsi="Calibri" w:cs="Calibri"/>
          <w:i/>
          <w:iCs/>
        </w:rPr>
      </w:pPr>
    </w:p>
    <w:p w14:paraId="796B4617" w14:textId="77777777" w:rsidR="004106A5" w:rsidRDefault="004106A5" w:rsidP="004C35DF">
      <w:pPr>
        <w:jc w:val="both"/>
        <w:rPr>
          <w:rFonts w:ascii="Arial" w:hAnsi="Arial" w:cs="Arial"/>
          <w:i/>
          <w:iCs/>
        </w:rPr>
      </w:pPr>
    </w:p>
    <w:p w14:paraId="225746A1" w14:textId="77777777" w:rsidR="004106A5" w:rsidRDefault="004106A5" w:rsidP="004C35DF">
      <w:pPr>
        <w:jc w:val="both"/>
        <w:rPr>
          <w:rFonts w:ascii="Arial" w:hAnsi="Arial" w:cs="Arial"/>
          <w:i/>
          <w:iCs/>
        </w:rPr>
      </w:pPr>
    </w:p>
    <w:p w14:paraId="0E5A8F6E" w14:textId="77777777" w:rsidR="004106A5" w:rsidRDefault="004106A5" w:rsidP="004C35DF">
      <w:pPr>
        <w:jc w:val="both"/>
        <w:rPr>
          <w:rFonts w:ascii="Arial" w:hAnsi="Arial" w:cs="Arial"/>
          <w:i/>
          <w:iCs/>
        </w:rPr>
      </w:pPr>
    </w:p>
    <w:p w14:paraId="1E58B217" w14:textId="77777777" w:rsidR="004106A5" w:rsidRDefault="004106A5" w:rsidP="004C35DF">
      <w:pPr>
        <w:jc w:val="both"/>
        <w:rPr>
          <w:rFonts w:ascii="Arial" w:hAnsi="Arial" w:cs="Arial"/>
          <w:i/>
          <w:iCs/>
        </w:rPr>
      </w:pPr>
    </w:p>
    <w:p w14:paraId="75956D85" w14:textId="77777777" w:rsidR="004106A5" w:rsidRDefault="004106A5" w:rsidP="004C35DF">
      <w:pPr>
        <w:jc w:val="both"/>
        <w:rPr>
          <w:rFonts w:ascii="Arial" w:hAnsi="Arial" w:cs="Arial"/>
          <w:i/>
          <w:iCs/>
        </w:rPr>
      </w:pPr>
    </w:p>
    <w:p w14:paraId="4C3A58E6" w14:textId="77777777" w:rsidR="004106A5" w:rsidRDefault="004106A5" w:rsidP="004C35DF">
      <w:pPr>
        <w:jc w:val="both"/>
        <w:rPr>
          <w:rFonts w:ascii="Arial" w:hAnsi="Arial" w:cs="Arial"/>
          <w:i/>
          <w:iCs/>
        </w:rPr>
      </w:pPr>
    </w:p>
    <w:p w14:paraId="402942EA" w14:textId="77777777" w:rsidR="00BC7F89" w:rsidRDefault="00BC7F89" w:rsidP="00A115CE">
      <w:pPr>
        <w:pStyle w:val="berschrift1"/>
        <w:keepNext w:val="0"/>
        <w:keepLines w:val="0"/>
        <w:spacing w:before="120" w:line="276" w:lineRule="auto"/>
        <w:jc w:val="both"/>
        <w:rPr>
          <w:rFonts w:ascii="Arial" w:hAnsi="Arial" w:cs="Arial"/>
          <w:b/>
          <w:bCs/>
          <w:sz w:val="24"/>
          <w:szCs w:val="24"/>
        </w:rPr>
      </w:pPr>
    </w:p>
    <w:p w14:paraId="19EEE139" w14:textId="1FF2C982" w:rsidR="00A115CE" w:rsidRPr="00A115CE" w:rsidRDefault="00A115CE" w:rsidP="00A115CE">
      <w:pPr>
        <w:pStyle w:val="berschrift1"/>
        <w:keepNext w:val="0"/>
        <w:keepLines w:val="0"/>
        <w:spacing w:before="120" w:line="276" w:lineRule="auto"/>
        <w:jc w:val="both"/>
        <w:rPr>
          <w:rFonts w:ascii="Arial" w:hAnsi="Arial" w:cs="Arial"/>
          <w:b/>
          <w:bCs/>
          <w:sz w:val="24"/>
          <w:szCs w:val="24"/>
        </w:rPr>
      </w:pPr>
      <w:r w:rsidRPr="00A115CE">
        <w:rPr>
          <w:rFonts w:ascii="Arial" w:hAnsi="Arial" w:cs="Arial"/>
          <w:b/>
          <w:bCs/>
          <w:sz w:val="24"/>
          <w:szCs w:val="24"/>
        </w:rPr>
        <w:t>About the European Network on Independent Living</w:t>
      </w:r>
    </w:p>
    <w:p w14:paraId="7C43073E" w14:textId="77777777" w:rsidR="00A115CE" w:rsidRPr="00A115CE" w:rsidRDefault="00A115CE" w:rsidP="00A115CE">
      <w:pPr>
        <w:spacing w:before="240" w:after="240" w:line="276" w:lineRule="auto"/>
        <w:jc w:val="both"/>
        <w:rPr>
          <w:rFonts w:ascii="Arial" w:hAnsi="Arial" w:cs="Arial"/>
        </w:rPr>
      </w:pPr>
      <w:r w:rsidRPr="00A115CE">
        <w:rPr>
          <w:rFonts w:ascii="Arial" w:hAnsi="Arial" w:cs="Arial"/>
        </w:rPr>
        <w:t>The European Network on Independent Living (ENIL) is a disabled-led, cross-disability network of disabled people and their representative organisations. ENIL promotes the right to independent living, as set out in Article 19 of the UN Convention on the Rights of Persons with Disabilities (CRPD), its General Comments and the Guidelines on deinstitutionalisation, including in emergencies. ENIL’s work is guided by the CRPD and the Independent Living principles, enshrined in the Independent Living Pillars. ENIL is active at the European level, and internationally, through cooperation with Centres for Independent Living from around the globe. ENIL’s actions and activities are based on the social and the human rights models of disability, and on the principles of inclusive equality, self-determination, solidarity and intersectionality.</w:t>
      </w:r>
    </w:p>
    <w:p w14:paraId="3279D6ED" w14:textId="77777777" w:rsidR="00A115CE" w:rsidRPr="00A115CE" w:rsidRDefault="00A115CE" w:rsidP="00A115CE">
      <w:pPr>
        <w:spacing w:before="240" w:after="240" w:line="276" w:lineRule="auto"/>
        <w:jc w:val="both"/>
        <w:rPr>
          <w:rFonts w:ascii="Arial" w:hAnsi="Arial" w:cs="Arial"/>
        </w:rPr>
      </w:pPr>
      <w:r w:rsidRPr="00A115CE">
        <w:rPr>
          <w:rFonts w:ascii="Arial" w:hAnsi="Arial" w:cs="Arial"/>
        </w:rPr>
        <w:t>ENIL has participatory status with the Council of Europe (i.e. is a member of the Conference of INGOs) and consultative status with ECOSOC.</w:t>
      </w:r>
    </w:p>
    <w:p w14:paraId="07371040" w14:textId="77777777" w:rsidR="00A115CE" w:rsidRPr="00A115CE" w:rsidRDefault="00A115CE" w:rsidP="00A115CE">
      <w:pPr>
        <w:spacing w:after="240" w:line="276" w:lineRule="auto"/>
        <w:contextualSpacing/>
        <w:jc w:val="both"/>
        <w:rPr>
          <w:rFonts w:ascii="Arial" w:hAnsi="Arial" w:cs="Arial"/>
          <w:b/>
          <w:bCs/>
        </w:rPr>
      </w:pPr>
      <w:r w:rsidRPr="00A115CE">
        <w:rPr>
          <w:rFonts w:ascii="Arial" w:hAnsi="Arial" w:cs="Arial"/>
          <w:b/>
          <w:bCs/>
        </w:rPr>
        <w:t>Contact us</w:t>
      </w:r>
    </w:p>
    <w:p w14:paraId="66772C08" w14:textId="77777777" w:rsidR="00A115CE" w:rsidRPr="00A115CE" w:rsidRDefault="00A115CE" w:rsidP="00A115CE">
      <w:pPr>
        <w:spacing w:line="276" w:lineRule="auto"/>
        <w:contextualSpacing/>
        <w:jc w:val="both"/>
        <w:rPr>
          <w:rFonts w:ascii="Arial" w:hAnsi="Arial" w:cs="Arial"/>
        </w:rPr>
      </w:pPr>
      <w:r w:rsidRPr="00A115CE">
        <w:rPr>
          <w:rFonts w:ascii="Arial" w:hAnsi="Arial" w:cs="Arial"/>
        </w:rPr>
        <w:t>European Network on Independent Living (ENIL)</w:t>
      </w:r>
    </w:p>
    <w:p w14:paraId="04E1255F" w14:textId="77777777" w:rsidR="00A115CE" w:rsidRPr="00A115CE" w:rsidRDefault="00A115CE" w:rsidP="00A115CE">
      <w:pPr>
        <w:spacing w:line="276" w:lineRule="auto"/>
        <w:contextualSpacing/>
        <w:jc w:val="both"/>
        <w:rPr>
          <w:rFonts w:ascii="Arial" w:hAnsi="Arial" w:cs="Arial"/>
        </w:rPr>
      </w:pPr>
      <w:r w:rsidRPr="00A115CE">
        <w:rPr>
          <w:rFonts w:ascii="Arial" w:hAnsi="Arial" w:cs="Arial"/>
        </w:rPr>
        <w:t>6thFloor – Mundo J</w:t>
      </w:r>
    </w:p>
    <w:p w14:paraId="4C6367A8" w14:textId="77777777" w:rsidR="00A115CE" w:rsidRPr="00A115CE" w:rsidRDefault="00A115CE" w:rsidP="00A115CE">
      <w:pPr>
        <w:spacing w:line="276" w:lineRule="auto"/>
        <w:contextualSpacing/>
        <w:jc w:val="both"/>
        <w:rPr>
          <w:rFonts w:ascii="Arial" w:hAnsi="Arial" w:cs="Arial"/>
        </w:rPr>
      </w:pPr>
      <w:r w:rsidRPr="00A115CE">
        <w:rPr>
          <w:rFonts w:ascii="Arial" w:hAnsi="Arial" w:cs="Arial"/>
        </w:rPr>
        <w:t xml:space="preserve">Rue de </w:t>
      </w:r>
      <w:proofErr w:type="spellStart"/>
      <w:r w:rsidRPr="00A115CE">
        <w:rPr>
          <w:rFonts w:ascii="Arial" w:hAnsi="Arial" w:cs="Arial"/>
        </w:rPr>
        <w:t>l’Industrie</w:t>
      </w:r>
      <w:proofErr w:type="spellEnd"/>
      <w:r w:rsidRPr="00A115CE">
        <w:rPr>
          <w:rFonts w:ascii="Arial" w:hAnsi="Arial" w:cs="Arial"/>
        </w:rPr>
        <w:t xml:space="preserve"> 10</w:t>
      </w:r>
    </w:p>
    <w:p w14:paraId="1C8C7013" w14:textId="77777777" w:rsidR="00A115CE" w:rsidRPr="00A115CE" w:rsidRDefault="00A115CE" w:rsidP="00A115CE">
      <w:pPr>
        <w:spacing w:line="276" w:lineRule="auto"/>
        <w:contextualSpacing/>
        <w:jc w:val="both"/>
        <w:rPr>
          <w:rFonts w:ascii="Arial" w:hAnsi="Arial" w:cs="Arial"/>
        </w:rPr>
      </w:pPr>
      <w:r w:rsidRPr="00A115CE">
        <w:rPr>
          <w:rFonts w:ascii="Arial" w:hAnsi="Arial" w:cs="Arial"/>
        </w:rPr>
        <w:t>1000 Brussels</w:t>
      </w:r>
    </w:p>
    <w:p w14:paraId="52B44CC9" w14:textId="77777777" w:rsidR="00A115CE" w:rsidRPr="00A115CE" w:rsidRDefault="00A115CE" w:rsidP="00A115CE">
      <w:pPr>
        <w:spacing w:line="276" w:lineRule="auto"/>
        <w:contextualSpacing/>
        <w:jc w:val="both"/>
        <w:rPr>
          <w:rFonts w:ascii="Arial" w:hAnsi="Arial" w:cs="Arial"/>
        </w:rPr>
      </w:pPr>
      <w:r w:rsidRPr="00A115CE">
        <w:rPr>
          <w:rFonts w:ascii="Arial" w:hAnsi="Arial" w:cs="Arial"/>
        </w:rPr>
        <w:t>Belgium</w:t>
      </w:r>
    </w:p>
    <w:p w14:paraId="69F2AA96" w14:textId="77777777" w:rsidR="00A115CE" w:rsidRPr="00A115CE" w:rsidRDefault="00A115CE" w:rsidP="00A115CE">
      <w:pPr>
        <w:spacing w:line="276" w:lineRule="auto"/>
        <w:contextualSpacing/>
        <w:jc w:val="both"/>
        <w:rPr>
          <w:rFonts w:ascii="Arial" w:hAnsi="Arial" w:cs="Arial"/>
        </w:rPr>
      </w:pPr>
      <w:r w:rsidRPr="00A115CE">
        <w:rPr>
          <w:rFonts w:ascii="Arial" w:hAnsi="Arial" w:cs="Arial"/>
        </w:rPr>
        <w:t>E-mail: secretariat@enil.eu</w:t>
      </w:r>
    </w:p>
    <w:p w14:paraId="1D872817" w14:textId="77777777" w:rsidR="00A115CE" w:rsidRPr="00A115CE" w:rsidRDefault="00A115CE" w:rsidP="00A115CE">
      <w:pPr>
        <w:spacing w:line="276" w:lineRule="auto"/>
        <w:contextualSpacing/>
        <w:jc w:val="both"/>
        <w:rPr>
          <w:rFonts w:ascii="Arial" w:hAnsi="Arial" w:cs="Arial"/>
          <w:color w:val="1155CC"/>
          <w:u w:val="single"/>
        </w:rPr>
      </w:pPr>
      <w:r w:rsidRPr="00A115CE">
        <w:rPr>
          <w:rFonts w:ascii="Arial" w:hAnsi="Arial" w:cs="Arial"/>
        </w:rPr>
        <w:t>Website:</w:t>
      </w:r>
      <w:hyperlink r:id="rId8">
        <w:r w:rsidRPr="00A115CE">
          <w:rPr>
            <w:rFonts w:ascii="Arial" w:hAnsi="Arial" w:cs="Arial"/>
            <w:color w:val="1155CC"/>
          </w:rPr>
          <w:t xml:space="preserve"> </w:t>
        </w:r>
      </w:hyperlink>
      <w:hyperlink r:id="rId9">
        <w:r w:rsidRPr="00A115CE">
          <w:rPr>
            <w:rFonts w:ascii="Arial" w:hAnsi="Arial" w:cs="Arial"/>
            <w:color w:val="1155CC"/>
            <w:u w:val="single"/>
          </w:rPr>
          <w:t>www.enil.eu</w:t>
        </w:r>
      </w:hyperlink>
    </w:p>
    <w:p w14:paraId="6519CDE6" w14:textId="77777777" w:rsidR="00A115CE" w:rsidRPr="00A115CE" w:rsidRDefault="00A115CE" w:rsidP="00A115CE">
      <w:pPr>
        <w:spacing w:line="276" w:lineRule="auto"/>
        <w:contextualSpacing/>
        <w:jc w:val="both"/>
        <w:rPr>
          <w:rFonts w:ascii="Arial" w:hAnsi="Arial" w:cs="Arial"/>
        </w:rPr>
      </w:pPr>
      <w:r w:rsidRPr="00A115CE">
        <w:rPr>
          <w:rFonts w:ascii="Arial" w:hAnsi="Arial" w:cs="Arial"/>
        </w:rPr>
        <w:t xml:space="preserve"> </w:t>
      </w:r>
    </w:p>
    <w:p w14:paraId="29FCDEB3" w14:textId="77777777" w:rsidR="00A115CE" w:rsidRPr="00A115CE" w:rsidRDefault="00A115CE" w:rsidP="00A115CE">
      <w:pPr>
        <w:spacing w:line="276" w:lineRule="auto"/>
        <w:contextualSpacing/>
        <w:jc w:val="both"/>
        <w:rPr>
          <w:rFonts w:ascii="Arial" w:hAnsi="Arial" w:cs="Arial"/>
        </w:rPr>
      </w:pPr>
      <w:r w:rsidRPr="00A115CE">
        <w:rPr>
          <w:rFonts w:ascii="Arial" w:hAnsi="Arial" w:cs="Arial"/>
        </w:rPr>
        <w:t>Written by: Florian Sanden</w:t>
      </w:r>
    </w:p>
    <w:p w14:paraId="64F85350" w14:textId="02F7EBEC" w:rsidR="00A115CE" w:rsidRPr="00A115CE" w:rsidRDefault="00A115CE" w:rsidP="00A115CE">
      <w:pPr>
        <w:spacing w:line="276" w:lineRule="auto"/>
        <w:contextualSpacing/>
        <w:jc w:val="both"/>
        <w:rPr>
          <w:rFonts w:ascii="Arial" w:hAnsi="Arial" w:cs="Arial"/>
        </w:rPr>
      </w:pPr>
      <w:r w:rsidRPr="00A115CE">
        <w:rPr>
          <w:rFonts w:ascii="Arial" w:hAnsi="Arial" w:cs="Arial"/>
        </w:rPr>
        <w:t>© European Network on Independent Living, 202</w:t>
      </w:r>
      <w:r w:rsidR="004106A5">
        <w:rPr>
          <w:rFonts w:ascii="Arial" w:hAnsi="Arial" w:cs="Arial"/>
        </w:rPr>
        <w:t>6</w:t>
      </w:r>
    </w:p>
    <w:p w14:paraId="3D13A929" w14:textId="3762EBAC" w:rsidR="004417BB" w:rsidRPr="00BD77E3" w:rsidRDefault="004417BB" w:rsidP="004417BB">
      <w:pPr>
        <w:spacing w:before="120" w:after="120"/>
        <w:contextualSpacing/>
      </w:pPr>
    </w:p>
    <w:p w14:paraId="4F0F7677" w14:textId="04648E53" w:rsidR="004417BB" w:rsidRPr="003F1FCF" w:rsidRDefault="004417BB" w:rsidP="004417BB">
      <w:pPr>
        <w:snapToGrid w:val="0"/>
        <w:spacing w:line="240" w:lineRule="auto"/>
        <w:rPr>
          <w:sz w:val="28"/>
          <w:szCs w:val="28"/>
        </w:rPr>
      </w:pPr>
      <w:r w:rsidRPr="003F1FCF">
        <w:rPr>
          <w:noProof/>
          <w:sz w:val="28"/>
          <w:szCs w:val="28"/>
        </w:rPr>
        <w:drawing>
          <wp:inline distT="0" distB="0" distL="0" distR="0" wp14:anchorId="0959E9C2" wp14:editId="59697A9C">
            <wp:extent cx="2486546" cy="519675"/>
            <wp:effectExtent l="19050" t="0" r="9004" b="0"/>
            <wp:docPr id="5" name="Picture 18"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descr="Blue text on a white background&#10;&#10;Description automatically generated"/>
                    <pic:cNvPicPr/>
                  </pic:nvPicPr>
                  <pic:blipFill>
                    <a:blip r:embed="rId10" cstate="screen">
                      <a:extLst>
                        <a:ext uri="{28A0092B-C50C-407E-A947-70E740481C1C}">
                          <a14:useLocalDpi xmlns:a14="http://schemas.microsoft.com/office/drawing/2010/main"/>
                        </a:ext>
                      </a:extLst>
                    </a:blip>
                    <a:stretch>
                      <a:fillRect/>
                    </a:stretch>
                  </pic:blipFill>
                  <pic:spPr>
                    <a:xfrm>
                      <a:off x="0" y="0"/>
                      <a:ext cx="2486546" cy="519675"/>
                    </a:xfrm>
                    <a:prstGeom prst="rect">
                      <a:avLst/>
                    </a:prstGeom>
                  </pic:spPr>
                </pic:pic>
              </a:graphicData>
            </a:graphic>
          </wp:inline>
        </w:drawing>
      </w:r>
    </w:p>
    <w:p w14:paraId="1F4085CE" w14:textId="77777777" w:rsidR="004417BB" w:rsidRPr="003F1FCF" w:rsidRDefault="004417BB" w:rsidP="004417BB">
      <w:pPr>
        <w:snapToGrid w:val="0"/>
        <w:spacing w:line="240" w:lineRule="auto"/>
        <w:rPr>
          <w:sz w:val="28"/>
          <w:szCs w:val="28"/>
        </w:rPr>
      </w:pPr>
      <w:r w:rsidRPr="003F1FCF">
        <w:rPr>
          <w:i/>
          <w:iCs/>
        </w:rPr>
        <w:t>Co-funded by the European Union. Views and opinions expressed are however those of the author(s) only and do not necessarily reflect those of the European Union or the European Commission. Neither the European Union nor the granting authority can be held responsible for them.</w:t>
      </w:r>
    </w:p>
    <w:p w14:paraId="15E3CDE4" w14:textId="77777777" w:rsidR="00DC74BF" w:rsidRPr="006A6C30" w:rsidRDefault="00DC74BF" w:rsidP="00275107">
      <w:pPr>
        <w:jc w:val="both"/>
        <w:rPr>
          <w:rFonts w:ascii="Arial" w:hAnsi="Arial" w:cs="Arial"/>
        </w:rPr>
      </w:pPr>
    </w:p>
    <w:p w14:paraId="03B34378" w14:textId="77777777" w:rsidR="00DC74BF" w:rsidRPr="006A6C30" w:rsidRDefault="00DC74BF" w:rsidP="00275107">
      <w:pPr>
        <w:jc w:val="both"/>
        <w:rPr>
          <w:rFonts w:ascii="Arial" w:hAnsi="Arial" w:cs="Arial"/>
        </w:rPr>
      </w:pPr>
    </w:p>
    <w:sectPr w:rsidR="00DC74BF" w:rsidRPr="006A6C30" w:rsidSect="00931E5C">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88E8" w14:textId="77777777" w:rsidR="0023375A" w:rsidRPr="0016306B" w:rsidRDefault="0023375A" w:rsidP="00B35241">
      <w:pPr>
        <w:spacing w:after="0" w:line="240" w:lineRule="auto"/>
      </w:pPr>
      <w:r w:rsidRPr="0016306B">
        <w:separator/>
      </w:r>
    </w:p>
  </w:endnote>
  <w:endnote w:type="continuationSeparator" w:id="0">
    <w:p w14:paraId="1E6C880B" w14:textId="77777777" w:rsidR="0023375A" w:rsidRPr="0016306B" w:rsidRDefault="0023375A" w:rsidP="00B35241">
      <w:pPr>
        <w:spacing w:after="0" w:line="240" w:lineRule="auto"/>
      </w:pPr>
      <w:r w:rsidRPr="001630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689428"/>
      <w:docPartObj>
        <w:docPartGallery w:val="Page Numbers (Bottom of Page)"/>
        <w:docPartUnique/>
      </w:docPartObj>
    </w:sdtPr>
    <w:sdtContent>
      <w:sdt>
        <w:sdtPr>
          <w:id w:val="1728636285"/>
          <w:docPartObj>
            <w:docPartGallery w:val="Page Numbers (Top of Page)"/>
            <w:docPartUnique/>
          </w:docPartObj>
        </w:sdtPr>
        <w:sdtContent>
          <w:p w14:paraId="6F394205" w14:textId="71DEA3A8" w:rsidR="00324D3D" w:rsidRDefault="00324D3D">
            <w:pPr>
              <w:pStyle w:val="Fuzeile"/>
              <w:jc w:val="center"/>
            </w:pPr>
            <w:r>
              <w:rPr>
                <w:lang w:val="de-DE"/>
              </w:rPr>
              <w:t xml:space="preserve">Page </w:t>
            </w:r>
            <w:r>
              <w:rPr>
                <w:b/>
                <w:bCs/>
              </w:rPr>
              <w:fldChar w:fldCharType="begin"/>
            </w:r>
            <w:r>
              <w:rPr>
                <w:b/>
                <w:bCs/>
              </w:rPr>
              <w:instrText>PAGE</w:instrText>
            </w:r>
            <w:r>
              <w:rPr>
                <w:b/>
                <w:bCs/>
              </w:rPr>
              <w:fldChar w:fldCharType="separate"/>
            </w:r>
            <w:r>
              <w:rPr>
                <w:b/>
                <w:bCs/>
                <w:lang w:val="de-DE"/>
              </w:rPr>
              <w:t>2</w:t>
            </w:r>
            <w:r>
              <w:rPr>
                <w:b/>
                <w:bCs/>
              </w:rPr>
              <w:fldChar w:fldCharType="end"/>
            </w:r>
            <w:r>
              <w:rPr>
                <w:lang w:val="de-DE"/>
              </w:rPr>
              <w:t xml:space="preserve"> </w:t>
            </w:r>
            <w:proofErr w:type="spellStart"/>
            <w:r>
              <w:rPr>
                <w:lang w:val="de-DE"/>
              </w:rPr>
              <w:t>of</w:t>
            </w:r>
            <w:proofErr w:type="spellEnd"/>
            <w:r>
              <w:rPr>
                <w:lang w:val="de-DE"/>
              </w:rPr>
              <w:t xml:space="preserve"> </w:t>
            </w:r>
            <w:r>
              <w:rPr>
                <w:b/>
                <w:bCs/>
              </w:rPr>
              <w:fldChar w:fldCharType="begin"/>
            </w:r>
            <w:r>
              <w:rPr>
                <w:b/>
                <w:bCs/>
              </w:rPr>
              <w:instrText>NUMPAGES</w:instrText>
            </w:r>
            <w:r>
              <w:rPr>
                <w:b/>
                <w:bCs/>
              </w:rPr>
              <w:fldChar w:fldCharType="separate"/>
            </w:r>
            <w:r>
              <w:rPr>
                <w:b/>
                <w:bCs/>
                <w:lang w:val="de-DE"/>
              </w:rPr>
              <w:t>2</w:t>
            </w:r>
            <w:r>
              <w:rPr>
                <w:b/>
                <w:bCs/>
              </w:rPr>
              <w:fldChar w:fldCharType="end"/>
            </w:r>
          </w:p>
        </w:sdtContent>
      </w:sdt>
    </w:sdtContent>
  </w:sdt>
  <w:p w14:paraId="2F5894FB" w14:textId="77777777" w:rsidR="00324D3D" w:rsidRDefault="00324D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820B" w14:textId="77777777" w:rsidR="0023375A" w:rsidRPr="0016306B" w:rsidRDefault="0023375A" w:rsidP="00B35241">
      <w:pPr>
        <w:spacing w:after="0" w:line="240" w:lineRule="auto"/>
      </w:pPr>
      <w:r w:rsidRPr="0016306B">
        <w:separator/>
      </w:r>
    </w:p>
  </w:footnote>
  <w:footnote w:type="continuationSeparator" w:id="0">
    <w:p w14:paraId="0A57EDD4" w14:textId="77777777" w:rsidR="0023375A" w:rsidRPr="0016306B" w:rsidRDefault="0023375A" w:rsidP="00B35241">
      <w:pPr>
        <w:spacing w:after="0" w:line="240" w:lineRule="auto"/>
      </w:pPr>
      <w:r w:rsidRPr="0016306B">
        <w:continuationSeparator/>
      </w:r>
    </w:p>
  </w:footnote>
  <w:footnote w:id="1">
    <w:p w14:paraId="22285100" w14:textId="77777777" w:rsidR="00422674" w:rsidRPr="003F1FCF" w:rsidRDefault="00422674" w:rsidP="00422674">
      <w:pPr>
        <w:pStyle w:val="Funotentext"/>
      </w:pPr>
      <w:r w:rsidRPr="003F1FCF">
        <w:rPr>
          <w:rStyle w:val="Funotenzeichen"/>
        </w:rPr>
        <w:footnoteRef/>
      </w:r>
      <w:r w:rsidRPr="003F1FCF">
        <w:t xml:space="preserve"> Eurostat 2025. Disability statistics - poverty and income inequalities. </w:t>
      </w:r>
      <w:hyperlink r:id="rId1" w:history="1">
        <w:r w:rsidRPr="003F1FCF">
          <w:rPr>
            <w:rStyle w:val="Hyperlink"/>
          </w:rPr>
          <w:t>https://ec.europa.eu/eurostat/statistics-explained/index.php?title=Disability_statistics_-_poverty_and_income_inequalities</w:t>
        </w:r>
      </w:hyperlink>
      <w:r w:rsidRPr="003F1FCF">
        <w:t xml:space="preserve">    </w:t>
      </w:r>
    </w:p>
  </w:footnote>
  <w:footnote w:id="2">
    <w:p w14:paraId="7FB82A96" w14:textId="77777777" w:rsidR="00422674" w:rsidRPr="004B7806" w:rsidRDefault="00422674" w:rsidP="00422674">
      <w:pPr>
        <w:pStyle w:val="Funotentext"/>
      </w:pPr>
      <w:r>
        <w:rPr>
          <w:rStyle w:val="Funotenzeichen"/>
        </w:rPr>
        <w:footnoteRef/>
      </w:r>
      <w:r>
        <w:t xml:space="preserve"> Eurostat 2025. Disability statistics - poverty and income inequalities. </w:t>
      </w:r>
      <w:hyperlink r:id="rId2" w:history="1">
        <w:r w:rsidRPr="00061DEF">
          <w:rPr>
            <w:rStyle w:val="Hyperlink"/>
          </w:rPr>
          <w:t>https://ec.europa.eu/eurostat/statistics-explained/index.php?title=Disability_statistics_-_poverty_and_income_inequalit</w:t>
        </w:r>
        <w:r w:rsidRPr="00061DEF">
          <w:rPr>
            <w:rStyle w:val="Hyperlink"/>
          </w:rPr>
          <w:t>ies</w:t>
        </w:r>
      </w:hyperlink>
    </w:p>
  </w:footnote>
  <w:footnote w:id="3">
    <w:p w14:paraId="4CE019F2" w14:textId="5F0D37CE" w:rsidR="0028644D" w:rsidRPr="0028644D" w:rsidRDefault="0028644D">
      <w:pPr>
        <w:pStyle w:val="Funotentext"/>
        <w:rPr>
          <w:lang w:val="de-DE"/>
        </w:rPr>
      </w:pPr>
      <w:r>
        <w:rPr>
          <w:rStyle w:val="Funotenzeichen"/>
        </w:rPr>
        <w:footnoteRef/>
      </w:r>
      <w:r>
        <w:t xml:space="preserve"> </w:t>
      </w:r>
      <w:r w:rsidR="002417F6">
        <w:t xml:space="preserve">European Network on Independent Living 2022. </w:t>
      </w:r>
      <w:hyperlink r:id="rId3" w:history="1">
        <w:r w:rsidR="00C4195E" w:rsidRPr="00067736">
          <w:rPr>
            <w:rStyle w:val="Hyperlink"/>
          </w:rPr>
          <w:t>https://enil.eu/independent-living/</w:t>
        </w:r>
      </w:hyperlink>
      <w:r w:rsidR="002417F6">
        <w:t xml:space="preserve"> </w:t>
      </w:r>
    </w:p>
  </w:footnote>
  <w:footnote w:id="4">
    <w:p w14:paraId="41DB942B" w14:textId="77777777" w:rsidR="00F20835" w:rsidRPr="0034097D" w:rsidRDefault="00F20835" w:rsidP="00F20835">
      <w:pPr>
        <w:pStyle w:val="Funotentext"/>
        <w:ind w:left="0" w:firstLine="0"/>
        <w:rPr>
          <w:b/>
          <w:bCs/>
        </w:rPr>
      </w:pPr>
      <w:r>
        <w:rPr>
          <w:rStyle w:val="Funotenzeichen"/>
        </w:rPr>
        <w:footnoteRef/>
      </w:r>
      <w:r>
        <w:t xml:space="preserve"> Eurostat 2026. </w:t>
      </w:r>
      <w:r w:rsidRPr="0078357B">
        <w:t xml:space="preserve">Expenditure on social protection by type of expenditure. </w:t>
      </w:r>
      <w:hyperlink r:id="rId4" w:history="1">
        <w:r w:rsidRPr="005B37BA">
          <w:rPr>
            <w:rStyle w:val="Hyperlink"/>
          </w:rPr>
          <w:t>https://ec.europa.eu/eurostat/databrowser/view/spr_exp_type/default/table?lang=en&amp;category=spr.spr_exp</w:t>
        </w:r>
      </w:hyperlink>
      <w:r>
        <w:t xml:space="preserve"> </w:t>
      </w:r>
    </w:p>
  </w:footnote>
  <w:footnote w:id="5">
    <w:p w14:paraId="0A333C55" w14:textId="28774BD1" w:rsidR="0072609B" w:rsidRPr="002C7C1F" w:rsidRDefault="0072609B" w:rsidP="0072609B">
      <w:pPr>
        <w:pStyle w:val="Funotentext"/>
        <w:rPr>
          <w:lang w:val="de-DE"/>
        </w:rPr>
      </w:pPr>
      <w:r>
        <w:rPr>
          <w:rStyle w:val="Funotenzeichen"/>
        </w:rPr>
        <w:footnoteRef/>
      </w:r>
      <w:r w:rsidR="00165625">
        <w:t xml:space="preserve"> </w:t>
      </w:r>
      <w:r w:rsidRPr="00E07A2B">
        <w:t xml:space="preserve">Eurostat 2026. Job vacancy statistics. </w:t>
      </w:r>
      <w:hyperlink r:id="rId5" w:history="1">
        <w:r w:rsidRPr="005B37BA">
          <w:rPr>
            <w:rStyle w:val="Hyperlink"/>
          </w:rPr>
          <w:t>https://ec.europa.eu/eurostat/statistics-explained/index.php?title=Job_vacancy_statistics</w:t>
        </w:r>
      </w:hyperlink>
      <w:r>
        <w:t xml:space="preserve"> </w:t>
      </w:r>
    </w:p>
  </w:footnote>
  <w:footnote w:id="6">
    <w:p w14:paraId="2A2C6DD6" w14:textId="77777777" w:rsidR="003A3E9F" w:rsidRPr="003F1FCF" w:rsidRDefault="003A3E9F" w:rsidP="003A3E9F">
      <w:pPr>
        <w:pStyle w:val="Funotentext"/>
      </w:pPr>
      <w:r w:rsidRPr="003F1FCF">
        <w:rPr>
          <w:rStyle w:val="Funotenzeichen"/>
        </w:rPr>
        <w:footnoteRef/>
      </w:r>
      <w:r w:rsidRPr="003F1FCF">
        <w:t xml:space="preserve"> </w:t>
      </w:r>
      <w:proofErr w:type="spellStart"/>
      <w:r w:rsidRPr="003F1FCF">
        <w:t>Eurofound</w:t>
      </w:r>
      <w:proofErr w:type="spellEnd"/>
      <w:r w:rsidRPr="003F1FCF">
        <w:t xml:space="preserve"> 2021. Paths towards Independent Living. </w:t>
      </w:r>
      <w:hyperlink r:id="rId6" w:history="1">
        <w:r w:rsidRPr="003F1FCF">
          <w:rPr>
            <w:rStyle w:val="Hyperlink"/>
          </w:rPr>
          <w:t>https://www.eurofound.europa.eu/en/publications/all/paths-towards-independent-living-and-social-inclusion-europe</w:t>
        </w:r>
      </w:hyperlink>
      <w:r w:rsidRPr="003F1FCF">
        <w:t xml:space="preserve"> </w:t>
      </w:r>
    </w:p>
  </w:footnote>
  <w:footnote w:id="7">
    <w:p w14:paraId="0240469A" w14:textId="5E4C1E27" w:rsidR="003A3E9F" w:rsidRPr="003F1FCF" w:rsidRDefault="003A3E9F" w:rsidP="003A3E9F">
      <w:pPr>
        <w:pStyle w:val="Funotentext"/>
      </w:pPr>
      <w:r w:rsidRPr="003F1FCF">
        <w:rPr>
          <w:rStyle w:val="Funotenzeichen"/>
        </w:rPr>
        <w:footnoteRef/>
      </w:r>
      <w:r>
        <w:t xml:space="preserve"> OECD</w:t>
      </w:r>
      <w:r w:rsidR="007329C5">
        <w:t xml:space="preserve"> </w:t>
      </w:r>
      <w:r w:rsidR="008B6253">
        <w:t>2023. Health at a glance.</w:t>
      </w:r>
      <w:r>
        <w:t xml:space="preserve"> </w:t>
      </w:r>
      <w:hyperlink r:id="rId7" w:anchor="indicator-d1e36161-5548160ee5" w:history="1">
        <w:r w:rsidRPr="003C7B43">
          <w:rPr>
            <w:rStyle w:val="Hyperlink"/>
          </w:rPr>
          <w:t>https://www.oecd.org/en/publications/health-at-a-glance-2023_7a7afb35-en/full-report/long-term-care-spending-and-unit-costs_cc989a20.html#indicator-d1e36161-5548160ee5</w:t>
        </w:r>
      </w:hyperlink>
      <w:r w:rsidRPr="003F1FCF">
        <w:t xml:space="preserve"> </w:t>
      </w:r>
    </w:p>
  </w:footnote>
  <w:footnote w:id="8">
    <w:p w14:paraId="76E12A07" w14:textId="77777777" w:rsidR="003A3E9F" w:rsidRPr="00B025F7" w:rsidRDefault="003A3E9F" w:rsidP="003A3E9F">
      <w:pPr>
        <w:pStyle w:val="Funotentext"/>
        <w:rPr>
          <w:lang w:val="de-DE"/>
        </w:rPr>
      </w:pPr>
      <w:r>
        <w:rPr>
          <w:rStyle w:val="Funotenzeichen"/>
        </w:rPr>
        <w:footnoteRef/>
      </w:r>
      <w:r>
        <w:t xml:space="preserve"> European Commission 2021. The 2021 Ageing Report. </w:t>
      </w:r>
      <w:hyperlink r:id="rId8" w:history="1">
        <w:r w:rsidRPr="00BA56F7">
          <w:rPr>
            <w:rStyle w:val="Hyperlink"/>
          </w:rPr>
          <w:t>https://employment-social-affairs.ec.europa.eu/policies-and-activities/social-protection-social-inclusion/social-protection/long-term-care_en</w:t>
        </w:r>
      </w:hyperlink>
      <w:r>
        <w:t xml:space="preserve"> </w:t>
      </w:r>
    </w:p>
  </w:footnote>
  <w:footnote w:id="9">
    <w:p w14:paraId="1E41574F" w14:textId="5D4D7716" w:rsidR="0034580D" w:rsidRPr="0034580D" w:rsidRDefault="0034580D">
      <w:pPr>
        <w:pStyle w:val="Funotentext"/>
        <w:rPr>
          <w:lang w:val="de-DE"/>
        </w:rPr>
      </w:pPr>
      <w:r>
        <w:rPr>
          <w:rStyle w:val="Funotenzeichen"/>
        </w:rPr>
        <w:footnoteRef/>
      </w:r>
      <w:r>
        <w:t xml:space="preserve"> </w:t>
      </w:r>
      <w:proofErr w:type="spellStart"/>
      <w:r w:rsidR="00101602" w:rsidRPr="00101602">
        <w:t>Eurofound</w:t>
      </w:r>
      <w:proofErr w:type="spellEnd"/>
      <w:r w:rsidR="00101602" w:rsidRPr="00101602">
        <w:t xml:space="preserve"> 2021. Disability and labour market integration: Policy trends and support in EU Member States </w:t>
      </w:r>
      <w:hyperlink r:id="rId9" w:history="1">
        <w:r w:rsidR="00101602" w:rsidRPr="00101602">
          <w:rPr>
            <w:rStyle w:val="Hyperlink"/>
          </w:rPr>
          <w:t>https://www.eurofound.europa.eu/en/publications/all/disability-and-labour-market-integration-policy-trends-and-support-eu-member</w:t>
        </w:r>
      </w:hyperlink>
    </w:p>
  </w:footnote>
  <w:footnote w:id="10">
    <w:p w14:paraId="7F73ED78" w14:textId="1FECE02D" w:rsidR="00BD138E" w:rsidRPr="00BD138E" w:rsidRDefault="00BD138E">
      <w:pPr>
        <w:pStyle w:val="Funotentext"/>
        <w:rPr>
          <w:lang w:val="de-DE"/>
        </w:rPr>
      </w:pPr>
      <w:r>
        <w:rPr>
          <w:rStyle w:val="Funotenzeichen"/>
        </w:rPr>
        <w:footnoteRef/>
      </w:r>
      <w:r w:rsidR="002D3D6C">
        <w:t xml:space="preserve"> European Commission 2025. Study on alternative employment models for persons with disabilities.</w:t>
      </w:r>
      <w:r>
        <w:t xml:space="preserve"> </w:t>
      </w:r>
      <w:hyperlink r:id="rId10" w:history="1">
        <w:r w:rsidR="002D3D6C" w:rsidRPr="00067736">
          <w:rPr>
            <w:rStyle w:val="Hyperlink"/>
          </w:rPr>
          <w:t>https://op.europa.eu/en/publication-detail/-/publication/1cc9efd9-1b5d-11f0-b1a3-01aa75ed71a1/language-en</w:t>
        </w:r>
      </w:hyperlink>
      <w:r w:rsidR="002D3D6C">
        <w:t xml:space="preserve"> </w:t>
      </w:r>
    </w:p>
  </w:footnote>
  <w:footnote w:id="11">
    <w:p w14:paraId="79D67DB8" w14:textId="12508A72" w:rsidR="00901992" w:rsidRPr="00901992" w:rsidRDefault="00901992">
      <w:pPr>
        <w:pStyle w:val="Funotentext"/>
        <w:rPr>
          <w:lang w:val="de-DE"/>
        </w:rPr>
      </w:pPr>
      <w:r>
        <w:rPr>
          <w:rStyle w:val="Funotenzeichen"/>
        </w:rPr>
        <w:footnoteRef/>
      </w:r>
      <w:r>
        <w:t xml:space="preserve"> </w:t>
      </w:r>
      <w:hyperlink r:id="rId11" w:history="1">
        <w:r w:rsidRPr="00901992">
          <w:rPr>
            <w:rStyle w:val="Hyperlink"/>
          </w:rPr>
          <w:t>https://www.cittametropolitana.mi.it/lavoro/piano-metropolitano-per-loccupazione-dei-disabili/index.html</w:t>
        </w:r>
      </w:hyperlink>
    </w:p>
  </w:footnote>
  <w:footnote w:id="12">
    <w:p w14:paraId="413C9791" w14:textId="2BCA3186" w:rsidR="004B3801" w:rsidRPr="004B3801" w:rsidRDefault="004B3801">
      <w:pPr>
        <w:pStyle w:val="Funotentext"/>
        <w:rPr>
          <w:lang w:val="de-DE"/>
        </w:rPr>
      </w:pPr>
      <w:r>
        <w:rPr>
          <w:rStyle w:val="Funotenzeichen"/>
        </w:rPr>
        <w:footnoteRef/>
      </w:r>
      <w:r w:rsidR="0073359A">
        <w:t xml:space="preserve"> </w:t>
      </w:r>
      <w:r w:rsidR="0073359A">
        <w:t>Metropolitan City of Milan</w:t>
      </w:r>
      <w:r w:rsidR="00096E4F">
        <w:t xml:space="preserve"> 2025.</w:t>
      </w:r>
      <w:r w:rsidR="0073359A">
        <w:t xml:space="preserve"> </w:t>
      </w:r>
      <w:hyperlink r:id="rId12" w:history="1">
        <w:r w:rsidR="0073359A" w:rsidRPr="00067736">
          <w:rPr>
            <w:rStyle w:val="Hyperlink"/>
          </w:rPr>
          <w:t>https://www.cittametropolitana.mi.it/export/sites/default/lavoro/pdf/emergo/Programmazione-emergo/Masterplan-EMERGO-2025.pdf</w:t>
        </w:r>
      </w:hyperlink>
      <w:r w:rsidR="0073359A">
        <w:t xml:space="preserve"> </w:t>
      </w:r>
    </w:p>
  </w:footnote>
  <w:footnote w:id="13">
    <w:p w14:paraId="66FE8238" w14:textId="6CB3F966" w:rsidR="001B2318" w:rsidRPr="001B2318" w:rsidRDefault="001B2318">
      <w:pPr>
        <w:pStyle w:val="Funotentext"/>
        <w:rPr>
          <w:lang w:val="de-DE"/>
        </w:rPr>
      </w:pPr>
      <w:r>
        <w:rPr>
          <w:rStyle w:val="Funotenzeichen"/>
        </w:rPr>
        <w:footnoteRef/>
      </w:r>
      <w:r>
        <w:t xml:space="preserve"> EASPD </w:t>
      </w:r>
      <w:r w:rsidR="0012052D">
        <w:t xml:space="preserve">2022. Fostering Employment through sheltered workshops. </w:t>
      </w:r>
      <w:r w:rsidR="00A157F5">
        <w:t xml:space="preserve">Reality, Trends, Next Steps. </w:t>
      </w:r>
      <w:hyperlink r:id="rId13" w:history="1">
        <w:r w:rsidR="008A466B" w:rsidRPr="00067736">
          <w:rPr>
            <w:rStyle w:val="Hyperlink"/>
          </w:rPr>
          <w:t>https://easpd.eu/fileadmin/user_upload/Publications/Fostering_Employment_through_Sheltered_Workshops_Reality__Trends_and_Next_Steps_2.pdf</w:t>
        </w:r>
      </w:hyperlink>
    </w:p>
  </w:footnote>
  <w:footnote w:id="14">
    <w:p w14:paraId="0F6D7A3D" w14:textId="77777777" w:rsidR="00E476EA" w:rsidRPr="00B2479D" w:rsidRDefault="00E476EA" w:rsidP="00E476EA">
      <w:pPr>
        <w:pStyle w:val="Funotentext"/>
        <w:rPr>
          <w:lang w:val="de-DE"/>
        </w:rPr>
      </w:pPr>
      <w:r>
        <w:rPr>
          <w:rStyle w:val="Funotenzeichen"/>
        </w:rPr>
        <w:footnoteRef/>
      </w:r>
      <w:r>
        <w:t xml:space="preserve"> European Union. EUR Lex. General Block Exemption Regulation. </w:t>
      </w:r>
      <w:hyperlink r:id="rId14" w:history="1">
        <w:r w:rsidRPr="00E640A9">
          <w:rPr>
            <w:rStyle w:val="Hyperlink"/>
          </w:rPr>
          <w:t>https://eur-lex.europa.eu/legal-content/EN/TXT/?uri=legissum:0802_4</w:t>
        </w:r>
      </w:hyperlink>
      <w:r>
        <w:t xml:space="preserve"> </w:t>
      </w:r>
    </w:p>
  </w:footnote>
  <w:footnote w:id="15">
    <w:p w14:paraId="74E6B313" w14:textId="4BC9CC6F" w:rsidR="00E476EA" w:rsidRPr="00074E21" w:rsidRDefault="00E476EA" w:rsidP="00E476EA">
      <w:pPr>
        <w:pStyle w:val="Funotentext"/>
        <w:rPr>
          <w:lang w:val="de-DE"/>
        </w:rPr>
      </w:pPr>
      <w:r>
        <w:rPr>
          <w:rStyle w:val="Funotenzeichen"/>
        </w:rPr>
        <w:footnoteRef/>
      </w:r>
      <w:r>
        <w:t xml:space="preserve"> </w:t>
      </w:r>
      <w:hyperlink r:id="rId15" w:history="1">
        <w:r w:rsidRPr="00E640A9">
          <w:rPr>
            <w:rStyle w:val="Hyperlink"/>
          </w:rPr>
          <w:t>https://competition-policy.ec.europa.eu/public-consultations/2026-gber_en</w:t>
        </w:r>
      </w:hyperlink>
    </w:p>
  </w:footnote>
  <w:footnote w:id="16">
    <w:p w14:paraId="71E7E26A" w14:textId="42A456DF" w:rsidR="00E476EA" w:rsidRPr="007A461E" w:rsidRDefault="00E476EA" w:rsidP="00DD5B28">
      <w:pPr>
        <w:pStyle w:val="Funotentext"/>
        <w:ind w:left="0" w:firstLine="0"/>
        <w:rPr>
          <w:lang w:val="de-DE"/>
        </w:rPr>
      </w:pPr>
      <w:r>
        <w:rPr>
          <w:rStyle w:val="Funotenzeichen"/>
        </w:rPr>
        <w:footnoteRef/>
      </w:r>
      <w:hyperlink r:id="rId16" w:history="1">
        <w:r w:rsidR="008A466B" w:rsidRPr="00067736">
          <w:rPr>
            <w:rStyle w:val="Hyperlink"/>
          </w:rPr>
          <w:t>https://competition-policy.ec.europa.eu/document/download/13d86416-7f23-466e-83aa-0af8105b72d2_en?filename=empty_file_en.pdf</w:t>
        </w:r>
      </w:hyperlink>
      <w:r>
        <w:t xml:space="preserve"> </w:t>
      </w:r>
    </w:p>
  </w:footnote>
  <w:footnote w:id="17">
    <w:p w14:paraId="68456431" w14:textId="47E2B05B" w:rsidR="00E54454" w:rsidRPr="008C7C51" w:rsidRDefault="00E54454" w:rsidP="008C7C51">
      <w:pPr>
        <w:pStyle w:val="Funotentext"/>
      </w:pPr>
      <w:r>
        <w:rPr>
          <w:rStyle w:val="Funotenzeichen"/>
        </w:rPr>
        <w:footnoteRef/>
      </w:r>
      <w:r>
        <w:t xml:space="preserve"> </w:t>
      </w:r>
      <w:r w:rsidR="00BB55EA">
        <w:t>Comp.</w:t>
      </w:r>
      <w:r w:rsidR="00FB6CE2">
        <w:t xml:space="preserve"> </w:t>
      </w:r>
      <w:r w:rsidR="00FB6CE2">
        <w:t>European Commission 20</w:t>
      </w:r>
      <w:r w:rsidR="00FB6CE2">
        <w:t>13.</w:t>
      </w:r>
      <w:r w:rsidR="00C157CD" w:rsidRPr="00C157CD">
        <w:rPr>
          <w:rFonts w:asciiTheme="minorHAnsi" w:eastAsiaTheme="minorHAnsi" w:hAnsiTheme="minorHAnsi" w:cstheme="minorBidi"/>
          <w:color w:val="auto"/>
          <w:kern w:val="0"/>
          <w:sz w:val="24"/>
          <w:szCs w:val="24"/>
          <w14:ligatures w14:val="none"/>
        </w:rPr>
        <w:t xml:space="preserve"> </w:t>
      </w:r>
      <w:r w:rsidR="00C157CD" w:rsidRPr="00C157CD">
        <w:t xml:space="preserve">Commission Regulation (EU) No 651/2014 of 17 June 2014 declaring certain categories of aid compatible with the internal market in application of Articles 107 and 108 of the Treaty </w:t>
      </w:r>
      <w:r w:rsidR="00FB6CE2">
        <w:t xml:space="preserve"> </w:t>
      </w:r>
      <w:hyperlink r:id="rId17" w:history="1">
        <w:r w:rsidR="00514CDE" w:rsidRPr="00067736">
          <w:rPr>
            <w:rStyle w:val="Hyperlink"/>
          </w:rPr>
          <w:t>https://eur-lex.europa.eu/legal-content/EN/ALL/?uri=CELEX:02014R0651-20230701</w:t>
        </w:r>
      </w:hyperlink>
      <w:r w:rsidR="00514CDE">
        <w:t xml:space="preserve"> </w:t>
      </w:r>
      <w:r w:rsidR="00BB55EA">
        <w:t xml:space="preserve"> </w:t>
      </w:r>
      <w:r w:rsidR="00EF0574">
        <w:t xml:space="preserve">European Commission </w:t>
      </w:r>
      <w:r w:rsidR="00E21A97">
        <w:t xml:space="preserve">2026. </w:t>
      </w:r>
      <w:r w:rsidR="008C7C51">
        <w:t>DRAFT COMMISSION REGULATION (EU) …/…of XXX</w:t>
      </w:r>
      <w:r w:rsidR="008C7C51">
        <w:t xml:space="preserve"> </w:t>
      </w:r>
      <w:r w:rsidR="008C7C51">
        <w:t>declaring certain categories of aid compatible with the internal market in application of</w:t>
      </w:r>
      <w:r w:rsidR="008C7C51">
        <w:t xml:space="preserve"> </w:t>
      </w:r>
      <w:r w:rsidR="008C7C51">
        <w:t>Articles 107 and 108 of the Treaty, amending Regulations (EU) 2022/2472,</w:t>
      </w:r>
      <w:r w:rsidR="008C7C51">
        <w:t xml:space="preserve"> </w:t>
      </w:r>
      <w:r w:rsidR="008C7C51">
        <w:t>(EU) 2022/2473</w:t>
      </w:r>
      <w:hyperlink r:id="rId18" w:history="1">
        <w:r w:rsidR="008C7C51" w:rsidRPr="00067736">
          <w:rPr>
            <w:rStyle w:val="Hyperlink"/>
          </w:rPr>
          <w:t>https://competition-policy.ec.europa.eu/document/download/13d86416-7f23-466e-83aa-0af8105b72d2_en?filename=empty_file_en.pdf</w:t>
        </w:r>
      </w:hyperlink>
      <w:r w:rsidR="00EF0574">
        <w:t xml:space="preserve"> </w:t>
      </w:r>
    </w:p>
  </w:footnote>
  <w:footnote w:id="18">
    <w:p w14:paraId="67E5E2DC" w14:textId="77777777" w:rsidR="00E476EA" w:rsidRPr="00BF43D7" w:rsidRDefault="00E476EA" w:rsidP="00E476EA">
      <w:pPr>
        <w:pStyle w:val="Funotentext"/>
      </w:pPr>
      <w:r>
        <w:rPr>
          <w:rStyle w:val="Funotenzeichen"/>
        </w:rPr>
        <w:footnoteRef/>
      </w:r>
      <w:r>
        <w:t xml:space="preserve"> Comp. ENIL 2024. </w:t>
      </w:r>
      <w:r w:rsidRPr="002E4FC8">
        <w:t>Reforming EU State Aid law to restrict subsidies to sheltered workshops</w:t>
      </w:r>
      <w:r>
        <w:rPr>
          <w:b/>
          <w:bCs/>
        </w:rPr>
        <w:t xml:space="preserve">. </w:t>
      </w:r>
      <w:hyperlink r:id="rId19" w:history="1">
        <w:r w:rsidRPr="00E640A9">
          <w:rPr>
            <w:rStyle w:val="Hyperlink"/>
          </w:rPr>
          <w:t>https://enil.eu/reforming-eu-state-aid-law-to-restrict-subsidies-to-sheltered-workshops/</w:t>
        </w:r>
      </w:hyperlink>
      <w:r>
        <w:t xml:space="preserve">; ENIL 2025. </w:t>
      </w:r>
      <w:r w:rsidRPr="00BF43D7">
        <w:t>New policy pathways</w:t>
      </w:r>
      <w:r>
        <w:t xml:space="preserve"> </w:t>
      </w:r>
      <w:r w:rsidRPr="00BF43D7">
        <w:t>for the labour market</w:t>
      </w:r>
      <w:r>
        <w:t xml:space="preserve"> </w:t>
      </w:r>
      <w:r w:rsidRPr="00BF43D7">
        <w:t>inclusion of disabled</w:t>
      </w:r>
      <w:r>
        <w:t xml:space="preserve"> </w:t>
      </w:r>
      <w:r w:rsidRPr="00BF43D7">
        <w:t xml:space="preserve">people </w:t>
      </w:r>
      <w:hyperlink r:id="rId20" w:history="1">
        <w:r w:rsidRPr="00E640A9">
          <w:rPr>
            <w:rStyle w:val="Hyperlink"/>
          </w:rPr>
          <w:t>https://enil.eu/wp-content/uploads/2025/10/New-policy-pathways-for-the-labour-market-inclusion-of-disabled-people.pdf</w:t>
        </w:r>
      </w:hyperlink>
      <w:r>
        <w:t xml:space="preserve"> </w:t>
      </w:r>
    </w:p>
  </w:footnote>
  <w:footnote w:id="19">
    <w:p w14:paraId="1D8CBDB2" w14:textId="77BBB2EE" w:rsidR="00D173E7" w:rsidRPr="00B165E3" w:rsidRDefault="00D173E7" w:rsidP="00B165E3">
      <w:pPr>
        <w:pStyle w:val="Funotentext"/>
        <w:rPr>
          <w:b/>
          <w:bCs/>
          <w:lang w:val="de-BE"/>
        </w:rPr>
      </w:pPr>
      <w:r>
        <w:rPr>
          <w:rStyle w:val="Funotenzeichen"/>
        </w:rPr>
        <w:footnoteRef/>
      </w:r>
      <w:r>
        <w:t xml:space="preserve"> </w:t>
      </w:r>
      <w:r w:rsidR="00483C73">
        <w:t xml:space="preserve">UN </w:t>
      </w:r>
      <w:r w:rsidR="003A29F6">
        <w:t xml:space="preserve">2025. </w:t>
      </w:r>
      <w:proofErr w:type="spellStart"/>
      <w:r w:rsidR="00B165E3" w:rsidRPr="00B165E3">
        <w:rPr>
          <w:lang w:val="de-BE"/>
        </w:rPr>
        <w:t>Concluding</w:t>
      </w:r>
      <w:proofErr w:type="spellEnd"/>
      <w:r w:rsidR="00B165E3" w:rsidRPr="00B165E3">
        <w:rPr>
          <w:lang w:val="de-BE"/>
        </w:rPr>
        <w:t xml:space="preserve"> </w:t>
      </w:r>
      <w:proofErr w:type="spellStart"/>
      <w:r w:rsidR="00B165E3" w:rsidRPr="00B165E3">
        <w:rPr>
          <w:lang w:val="de-BE"/>
        </w:rPr>
        <w:t>observations</w:t>
      </w:r>
      <w:proofErr w:type="spellEnd"/>
      <w:r w:rsidR="00B165E3" w:rsidRPr="00B165E3">
        <w:rPr>
          <w:lang w:val="de-BE"/>
        </w:rPr>
        <w:t xml:space="preserve"> on </w:t>
      </w:r>
      <w:proofErr w:type="spellStart"/>
      <w:r w:rsidR="00B165E3" w:rsidRPr="00B165E3">
        <w:rPr>
          <w:lang w:val="de-BE"/>
        </w:rPr>
        <w:t>the</w:t>
      </w:r>
      <w:proofErr w:type="spellEnd"/>
      <w:r w:rsidR="00B165E3" w:rsidRPr="00B165E3">
        <w:rPr>
          <w:lang w:val="de-BE"/>
        </w:rPr>
        <w:t xml:space="preserve"> </w:t>
      </w:r>
      <w:proofErr w:type="spellStart"/>
      <w:r w:rsidR="00B165E3" w:rsidRPr="00B165E3">
        <w:rPr>
          <w:lang w:val="de-BE"/>
        </w:rPr>
        <w:t>combined</w:t>
      </w:r>
      <w:proofErr w:type="spellEnd"/>
      <w:r w:rsidR="00B165E3" w:rsidRPr="00B165E3">
        <w:rPr>
          <w:lang w:val="de-BE"/>
        </w:rPr>
        <w:t xml:space="preserve"> 2nd and 3rd </w:t>
      </w:r>
      <w:proofErr w:type="spellStart"/>
      <w:r w:rsidR="00B165E3" w:rsidRPr="00B165E3">
        <w:rPr>
          <w:lang w:val="de-BE"/>
        </w:rPr>
        <w:t>periodic</w:t>
      </w:r>
      <w:proofErr w:type="spellEnd"/>
      <w:r w:rsidR="00B165E3" w:rsidRPr="00B165E3">
        <w:rPr>
          <w:lang w:val="de-BE"/>
        </w:rPr>
        <w:t xml:space="preserve"> </w:t>
      </w:r>
      <w:proofErr w:type="spellStart"/>
      <w:r w:rsidR="00B165E3" w:rsidRPr="00B165E3">
        <w:rPr>
          <w:lang w:val="de-BE"/>
        </w:rPr>
        <w:t>reports</w:t>
      </w:r>
      <w:proofErr w:type="spellEnd"/>
      <w:r w:rsidR="00B165E3" w:rsidRPr="00B165E3">
        <w:rPr>
          <w:lang w:val="de-BE"/>
        </w:rPr>
        <w:t xml:space="preserve"> </w:t>
      </w:r>
      <w:proofErr w:type="spellStart"/>
      <w:r w:rsidR="00B165E3" w:rsidRPr="00B165E3">
        <w:rPr>
          <w:lang w:val="de-BE"/>
        </w:rPr>
        <w:t>of</w:t>
      </w:r>
      <w:proofErr w:type="spellEnd"/>
      <w:r w:rsidR="00B165E3" w:rsidRPr="00B165E3">
        <w:rPr>
          <w:lang w:val="de-BE"/>
        </w:rPr>
        <w:t xml:space="preserve"> </w:t>
      </w:r>
      <w:proofErr w:type="spellStart"/>
      <w:r w:rsidR="00B165E3" w:rsidRPr="00B165E3">
        <w:rPr>
          <w:lang w:val="de-BE"/>
        </w:rPr>
        <w:t>the</w:t>
      </w:r>
      <w:proofErr w:type="spellEnd"/>
      <w:r w:rsidR="00B165E3" w:rsidRPr="00B165E3">
        <w:rPr>
          <w:lang w:val="de-BE"/>
        </w:rPr>
        <w:t xml:space="preserve"> European </w:t>
      </w:r>
      <w:proofErr w:type="gramStart"/>
      <w:r w:rsidR="00B165E3" w:rsidRPr="00B165E3">
        <w:rPr>
          <w:lang w:val="de-BE"/>
        </w:rPr>
        <w:t>Union :</w:t>
      </w:r>
      <w:proofErr w:type="gramEnd"/>
      <w:r w:rsidR="00B165E3" w:rsidRPr="00B165E3">
        <w:rPr>
          <w:lang w:val="de-BE"/>
        </w:rPr>
        <w:t xml:space="preserve"> Committee on </w:t>
      </w:r>
      <w:proofErr w:type="spellStart"/>
      <w:r w:rsidR="00B165E3" w:rsidRPr="00B165E3">
        <w:rPr>
          <w:lang w:val="de-BE"/>
        </w:rPr>
        <w:t>the</w:t>
      </w:r>
      <w:proofErr w:type="spellEnd"/>
      <w:r w:rsidR="00B165E3" w:rsidRPr="00B165E3">
        <w:rPr>
          <w:lang w:val="de-BE"/>
        </w:rPr>
        <w:t xml:space="preserve"> Rights </w:t>
      </w:r>
      <w:proofErr w:type="spellStart"/>
      <w:r w:rsidR="00B165E3" w:rsidRPr="00B165E3">
        <w:rPr>
          <w:lang w:val="de-BE"/>
        </w:rPr>
        <w:t>of</w:t>
      </w:r>
      <w:proofErr w:type="spellEnd"/>
      <w:r w:rsidR="00B165E3" w:rsidRPr="00B165E3">
        <w:rPr>
          <w:lang w:val="de-BE"/>
        </w:rPr>
        <w:t xml:space="preserve"> </w:t>
      </w:r>
      <w:proofErr w:type="spellStart"/>
      <w:r w:rsidR="00B165E3" w:rsidRPr="00B165E3">
        <w:rPr>
          <w:lang w:val="de-BE"/>
        </w:rPr>
        <w:t>Persons</w:t>
      </w:r>
      <w:proofErr w:type="spellEnd"/>
      <w:r w:rsidR="00B165E3" w:rsidRPr="00B165E3">
        <w:rPr>
          <w:lang w:val="de-BE"/>
        </w:rPr>
        <w:t xml:space="preserve"> </w:t>
      </w:r>
      <w:proofErr w:type="spellStart"/>
      <w:r w:rsidR="00B165E3" w:rsidRPr="00B165E3">
        <w:rPr>
          <w:lang w:val="de-BE"/>
        </w:rPr>
        <w:t>with</w:t>
      </w:r>
      <w:proofErr w:type="spellEnd"/>
      <w:r w:rsidR="00B165E3" w:rsidRPr="00B165E3">
        <w:rPr>
          <w:lang w:val="de-BE"/>
        </w:rPr>
        <w:t xml:space="preserve"> </w:t>
      </w:r>
      <w:proofErr w:type="spellStart"/>
      <w:r w:rsidR="00B165E3" w:rsidRPr="00B165E3">
        <w:rPr>
          <w:lang w:val="de-BE"/>
        </w:rPr>
        <w:t>Disabilities</w:t>
      </w:r>
      <w:proofErr w:type="spellEnd"/>
      <w:r w:rsidR="00B165E3" w:rsidRPr="00B165E3">
        <w:rPr>
          <w:lang w:val="de-BE"/>
        </w:rPr>
        <w:t>.</w:t>
      </w:r>
      <w:r w:rsidR="00B165E3">
        <w:rPr>
          <w:b/>
          <w:bCs/>
          <w:lang w:val="de-BE"/>
        </w:rPr>
        <w:t xml:space="preserve"> </w:t>
      </w:r>
      <w:hyperlink r:id="rId21" w:history="1">
        <w:r w:rsidR="00B165E3" w:rsidRPr="00067736">
          <w:rPr>
            <w:rStyle w:val="Hyperlink"/>
          </w:rPr>
          <w:t>https://digitallibrary.un.org/record/4080772?v=pdf</w:t>
        </w:r>
      </w:hyperlink>
      <w:r w:rsidR="00483C73">
        <w:t xml:space="preserve"> </w:t>
      </w:r>
    </w:p>
  </w:footnote>
  <w:footnote w:id="20">
    <w:p w14:paraId="5E94EBFF" w14:textId="103E7DFA" w:rsidR="006D096C" w:rsidRPr="006D096C" w:rsidRDefault="006D096C">
      <w:pPr>
        <w:pStyle w:val="Funotentext"/>
        <w:rPr>
          <w:lang w:val="de-DE"/>
        </w:rPr>
      </w:pPr>
      <w:r>
        <w:rPr>
          <w:rStyle w:val="Funotenzeichen"/>
        </w:rPr>
        <w:footnoteRef/>
      </w:r>
      <w:r>
        <w:t xml:space="preserve"> </w:t>
      </w:r>
      <w:r>
        <w:rPr>
          <w:lang w:val="de-DE"/>
        </w:rPr>
        <w:t xml:space="preserve">European </w:t>
      </w:r>
      <w:proofErr w:type="spellStart"/>
      <w:r>
        <w:rPr>
          <w:lang w:val="de-DE"/>
        </w:rPr>
        <w:t>Commission</w:t>
      </w:r>
      <w:proofErr w:type="spellEnd"/>
      <w:r>
        <w:rPr>
          <w:lang w:val="de-DE"/>
        </w:rPr>
        <w:t xml:space="preserve"> 2026. </w:t>
      </w:r>
      <w:r w:rsidR="00BD4984">
        <w:rPr>
          <w:lang w:val="de-DE"/>
        </w:rPr>
        <w:t>The European</w:t>
      </w:r>
      <w:r>
        <w:rPr>
          <w:lang w:val="de-DE"/>
        </w:rPr>
        <w:t xml:space="preserve"> </w:t>
      </w:r>
      <w:proofErr w:type="spellStart"/>
      <w:r>
        <w:rPr>
          <w:lang w:val="de-DE"/>
        </w:rPr>
        <w:t>Affordable</w:t>
      </w:r>
      <w:proofErr w:type="spellEnd"/>
      <w:r>
        <w:rPr>
          <w:lang w:val="de-DE"/>
        </w:rPr>
        <w:t xml:space="preserve"> Housing Plan, p 1</w:t>
      </w:r>
      <w:r w:rsidR="00BD4984">
        <w:rPr>
          <w:lang w:val="de-DE"/>
        </w:rPr>
        <w:t>1</w:t>
      </w:r>
      <w:r>
        <w:rPr>
          <w:lang w:val="de-DE"/>
        </w:rPr>
        <w:t xml:space="preserve">. </w:t>
      </w:r>
      <w:hyperlink r:id="rId22" w:history="1">
        <w:r w:rsidR="00BD4984" w:rsidRPr="00067736">
          <w:rPr>
            <w:rStyle w:val="Hyperlink"/>
            <w:lang w:val="de-DE"/>
          </w:rPr>
          <w:t>https://eur-lex.europa.eu/legal-content/EN/TXT/PDF/?uri=CELEX:52025DC1025</w:t>
        </w:r>
      </w:hyperlink>
      <w:r w:rsidR="00BD4984">
        <w:rPr>
          <w:lang w:val="de-DE"/>
        </w:rPr>
        <w:t xml:space="preserve"> </w:t>
      </w:r>
    </w:p>
  </w:footnote>
  <w:footnote w:id="21">
    <w:p w14:paraId="71348759" w14:textId="25A865C0" w:rsidR="009E66FE" w:rsidRPr="009E66FE" w:rsidRDefault="009E66FE">
      <w:pPr>
        <w:pStyle w:val="Funotentext"/>
        <w:rPr>
          <w:lang w:val="de-DE"/>
        </w:rPr>
      </w:pPr>
      <w:r>
        <w:rPr>
          <w:rStyle w:val="Funotenzeichen"/>
        </w:rPr>
        <w:footnoteRef/>
      </w:r>
      <w:r w:rsidR="009960E5">
        <w:t xml:space="preserve"> European Commission 2025. </w:t>
      </w:r>
      <w:r w:rsidR="009960E5" w:rsidRPr="009960E5">
        <w:t>Commission Decision (EU) 2025/2630 of 16 December 2025 on the application of Article 106(2) of the Treaty on the Functioning of the European Union to State aid in the form of public service compensation granted to certain undertakings entrusted with the operation of services of general economic interest and repealing Decision 2012/21/EU</w:t>
      </w:r>
      <w:r w:rsidR="00B403DF">
        <w:t>.</w:t>
      </w:r>
      <w:r>
        <w:t xml:space="preserve"> </w:t>
      </w:r>
      <w:hyperlink r:id="rId23" w:history="1">
        <w:r w:rsidR="009960E5" w:rsidRPr="00067736">
          <w:rPr>
            <w:rStyle w:val="Hyperlink"/>
          </w:rPr>
          <w:t>https://eur-lex.europa.eu/eli/dec/2025/2630/oj/eng</w:t>
        </w:r>
      </w:hyperlink>
      <w:r w:rsidR="009960E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80" w:rightFromText="180" w:vertAnchor="text" w:horzAnchor="margin" w:tblpY="1"/>
      <w:tblOverlap w:val="never"/>
      <w:tblW w:w="18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505"/>
      <w:gridCol w:w="8505"/>
    </w:tblGrid>
    <w:tr w:rsidR="00E476EA" w:rsidRPr="003F1FCF" w14:paraId="17291DDC" w14:textId="77777777" w:rsidTr="00EA0548">
      <w:trPr>
        <w:trHeight w:val="983"/>
      </w:trPr>
      <w:tc>
        <w:tcPr>
          <w:tcW w:w="1555" w:type="dxa"/>
        </w:tcPr>
        <w:p w14:paraId="11E7D358" w14:textId="77777777" w:rsidR="00E476EA" w:rsidRPr="003F1FCF" w:rsidRDefault="00E476EA" w:rsidP="00E476EA">
          <w:pPr>
            <w:spacing w:after="160" w:line="259" w:lineRule="auto"/>
          </w:pPr>
          <w:r w:rsidRPr="003F1FCF">
            <w:rPr>
              <w:noProof/>
            </w:rPr>
            <w:drawing>
              <wp:inline distT="0" distB="0" distL="0" distR="0" wp14:anchorId="1F6B2C88" wp14:editId="6D982C4E">
                <wp:extent cx="734378" cy="734692"/>
                <wp:effectExtent l="0" t="0" r="8890" b="8890"/>
                <wp:docPr id="1762487739" name="Grafik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79943" name="Grafik 967379943"/>
                        <pic:cNvPicPr/>
                      </pic:nvPicPr>
                      <pic:blipFill>
                        <a:blip r:embed="rId1">
                          <a:extLst>
                            <a:ext uri="{28A0092B-C50C-407E-A947-70E740481C1C}">
                              <a14:useLocalDpi xmlns:a14="http://schemas.microsoft.com/office/drawing/2010/main" val="0"/>
                            </a:ext>
                          </a:extLst>
                        </a:blip>
                        <a:stretch>
                          <a:fillRect/>
                        </a:stretch>
                      </pic:blipFill>
                      <pic:spPr>
                        <a:xfrm>
                          <a:off x="0" y="0"/>
                          <a:ext cx="775315" cy="775646"/>
                        </a:xfrm>
                        <a:prstGeom prst="rect">
                          <a:avLst/>
                        </a:prstGeom>
                      </pic:spPr>
                    </pic:pic>
                  </a:graphicData>
                </a:graphic>
              </wp:inline>
            </w:drawing>
          </w:r>
        </w:p>
      </w:tc>
      <w:tc>
        <w:tcPr>
          <w:tcW w:w="8505" w:type="dxa"/>
        </w:tcPr>
        <w:p w14:paraId="05A39B75" w14:textId="77777777" w:rsidR="00E476EA" w:rsidRPr="005A4511" w:rsidRDefault="00E476EA" w:rsidP="00E476EA">
          <w:pPr>
            <w:spacing w:after="160" w:line="259" w:lineRule="auto"/>
            <w:rPr>
              <w:sz w:val="28"/>
              <w:szCs w:val="14"/>
            </w:rPr>
          </w:pPr>
        </w:p>
        <w:p w14:paraId="708F8BBA" w14:textId="77777777" w:rsidR="00E476EA" w:rsidRPr="005A4511" w:rsidRDefault="00E476EA" w:rsidP="00E476EA">
          <w:pPr>
            <w:spacing w:after="160" w:line="259" w:lineRule="auto"/>
            <w:rPr>
              <w:b/>
              <w:bCs/>
              <w:sz w:val="28"/>
              <w:szCs w:val="14"/>
            </w:rPr>
          </w:pPr>
          <w:r w:rsidRPr="005A4511">
            <w:rPr>
              <w:b/>
              <w:bCs/>
              <w:color w:val="355585"/>
              <w:sz w:val="28"/>
              <w:szCs w:val="14"/>
            </w:rPr>
            <w:t xml:space="preserve">European Network on Independent Living </w:t>
          </w:r>
        </w:p>
      </w:tc>
      <w:tc>
        <w:tcPr>
          <w:tcW w:w="8505" w:type="dxa"/>
        </w:tcPr>
        <w:p w14:paraId="4DF04F90" w14:textId="77777777" w:rsidR="00E476EA" w:rsidRPr="003F1FCF" w:rsidRDefault="00E476EA" w:rsidP="00E476EA">
          <w:pPr>
            <w:spacing w:after="160" w:line="259" w:lineRule="auto"/>
          </w:pPr>
        </w:p>
      </w:tc>
    </w:tr>
  </w:tbl>
  <w:p w14:paraId="0C5D54D6" w14:textId="36400DA6" w:rsidR="00B35241" w:rsidRPr="0016306B" w:rsidRDefault="00B352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20C1D"/>
    <w:multiLevelType w:val="hybridMultilevel"/>
    <w:tmpl w:val="F4307794"/>
    <w:lvl w:ilvl="0" w:tplc="172A1D0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2D58A5"/>
    <w:multiLevelType w:val="hybridMultilevel"/>
    <w:tmpl w:val="DCA2DBE2"/>
    <w:lvl w:ilvl="0" w:tplc="26D4FC10">
      <w:start w:val="6"/>
      <w:numFmt w:val="lowerLetter"/>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87A77F4"/>
    <w:multiLevelType w:val="hybridMultilevel"/>
    <w:tmpl w:val="2FE27D98"/>
    <w:lvl w:ilvl="0" w:tplc="B46E6744">
      <w:start w:val="1"/>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1C54465"/>
    <w:multiLevelType w:val="hybridMultilevel"/>
    <w:tmpl w:val="F430779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B9751D6"/>
    <w:multiLevelType w:val="hybridMultilevel"/>
    <w:tmpl w:val="66D0DA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4081CDC"/>
    <w:multiLevelType w:val="hybridMultilevel"/>
    <w:tmpl w:val="679E90D6"/>
    <w:lvl w:ilvl="0" w:tplc="855EF70E">
      <w:start w:val="6"/>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2089764360">
    <w:abstractNumId w:val="2"/>
  </w:num>
  <w:num w:numId="2" w16cid:durableId="1699089727">
    <w:abstractNumId w:val="4"/>
  </w:num>
  <w:num w:numId="3" w16cid:durableId="2064401108">
    <w:abstractNumId w:val="0"/>
  </w:num>
  <w:num w:numId="4" w16cid:durableId="184637234">
    <w:abstractNumId w:val="3"/>
  </w:num>
  <w:num w:numId="5" w16cid:durableId="2106917238">
    <w:abstractNumId w:val="5"/>
  </w:num>
  <w:num w:numId="6" w16cid:durableId="1137257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64CDC1"/>
    <w:rsid w:val="0001002C"/>
    <w:rsid w:val="00016740"/>
    <w:rsid w:val="0002112F"/>
    <w:rsid w:val="000269AB"/>
    <w:rsid w:val="00033172"/>
    <w:rsid w:val="00033457"/>
    <w:rsid w:val="00036FD2"/>
    <w:rsid w:val="0004250C"/>
    <w:rsid w:val="000464CD"/>
    <w:rsid w:val="00047C90"/>
    <w:rsid w:val="000502B8"/>
    <w:rsid w:val="00050C8E"/>
    <w:rsid w:val="00052277"/>
    <w:rsid w:val="0005375A"/>
    <w:rsid w:val="00054D44"/>
    <w:rsid w:val="00060349"/>
    <w:rsid w:val="0006542B"/>
    <w:rsid w:val="000828BD"/>
    <w:rsid w:val="0009410F"/>
    <w:rsid w:val="00096E4F"/>
    <w:rsid w:val="000A2BE6"/>
    <w:rsid w:val="000C6C37"/>
    <w:rsid w:val="000D0D43"/>
    <w:rsid w:val="000D6143"/>
    <w:rsid w:val="00101602"/>
    <w:rsid w:val="001114DB"/>
    <w:rsid w:val="0012052D"/>
    <w:rsid w:val="00133129"/>
    <w:rsid w:val="001418B4"/>
    <w:rsid w:val="0016306B"/>
    <w:rsid w:val="00165625"/>
    <w:rsid w:val="001907AE"/>
    <w:rsid w:val="001B2318"/>
    <w:rsid w:val="001B6309"/>
    <w:rsid w:val="002013BA"/>
    <w:rsid w:val="002054E0"/>
    <w:rsid w:val="00210043"/>
    <w:rsid w:val="0022153C"/>
    <w:rsid w:val="00221854"/>
    <w:rsid w:val="002235E5"/>
    <w:rsid w:val="0023375A"/>
    <w:rsid w:val="002417F6"/>
    <w:rsid w:val="00244C28"/>
    <w:rsid w:val="00245D43"/>
    <w:rsid w:val="00246BDD"/>
    <w:rsid w:val="00263206"/>
    <w:rsid w:val="00275107"/>
    <w:rsid w:val="00280EE2"/>
    <w:rsid w:val="0028644D"/>
    <w:rsid w:val="00292162"/>
    <w:rsid w:val="002937DB"/>
    <w:rsid w:val="002A0DA0"/>
    <w:rsid w:val="002A1606"/>
    <w:rsid w:val="002A36EA"/>
    <w:rsid w:val="002A7882"/>
    <w:rsid w:val="002D3D6C"/>
    <w:rsid w:val="002E76F4"/>
    <w:rsid w:val="002F6334"/>
    <w:rsid w:val="0030613C"/>
    <w:rsid w:val="0031357E"/>
    <w:rsid w:val="00324D3D"/>
    <w:rsid w:val="00330504"/>
    <w:rsid w:val="003316A8"/>
    <w:rsid w:val="003317CC"/>
    <w:rsid w:val="00334899"/>
    <w:rsid w:val="00342334"/>
    <w:rsid w:val="003439F1"/>
    <w:rsid w:val="0034580D"/>
    <w:rsid w:val="00351C86"/>
    <w:rsid w:val="0036050D"/>
    <w:rsid w:val="00362293"/>
    <w:rsid w:val="00365D16"/>
    <w:rsid w:val="00384385"/>
    <w:rsid w:val="00386F95"/>
    <w:rsid w:val="003A29F6"/>
    <w:rsid w:val="003A3E9F"/>
    <w:rsid w:val="003B251D"/>
    <w:rsid w:val="003B508F"/>
    <w:rsid w:val="003C4BAF"/>
    <w:rsid w:val="004106A5"/>
    <w:rsid w:val="004156C4"/>
    <w:rsid w:val="00422674"/>
    <w:rsid w:val="0043231B"/>
    <w:rsid w:val="00433949"/>
    <w:rsid w:val="004417BB"/>
    <w:rsid w:val="00444539"/>
    <w:rsid w:val="00453124"/>
    <w:rsid w:val="004546DA"/>
    <w:rsid w:val="004579F4"/>
    <w:rsid w:val="004611C3"/>
    <w:rsid w:val="004625B8"/>
    <w:rsid w:val="00474ADA"/>
    <w:rsid w:val="00480374"/>
    <w:rsid w:val="00483C73"/>
    <w:rsid w:val="004B03CA"/>
    <w:rsid w:val="004B3801"/>
    <w:rsid w:val="004C35DF"/>
    <w:rsid w:val="004E6E3B"/>
    <w:rsid w:val="004F36CD"/>
    <w:rsid w:val="00511886"/>
    <w:rsid w:val="00512A90"/>
    <w:rsid w:val="005133B3"/>
    <w:rsid w:val="00514CDE"/>
    <w:rsid w:val="005174EE"/>
    <w:rsid w:val="0053585A"/>
    <w:rsid w:val="00554030"/>
    <w:rsid w:val="00554E8F"/>
    <w:rsid w:val="00566DC7"/>
    <w:rsid w:val="005754EF"/>
    <w:rsid w:val="005803FA"/>
    <w:rsid w:val="00583784"/>
    <w:rsid w:val="00590044"/>
    <w:rsid w:val="005A1C2C"/>
    <w:rsid w:val="005B4080"/>
    <w:rsid w:val="005B4A70"/>
    <w:rsid w:val="005B5065"/>
    <w:rsid w:val="005B721F"/>
    <w:rsid w:val="005B7C95"/>
    <w:rsid w:val="005C0D92"/>
    <w:rsid w:val="005D20F8"/>
    <w:rsid w:val="005D6193"/>
    <w:rsid w:val="005D72A3"/>
    <w:rsid w:val="005E460A"/>
    <w:rsid w:val="005F0335"/>
    <w:rsid w:val="00600DEA"/>
    <w:rsid w:val="00607EC6"/>
    <w:rsid w:val="0064180D"/>
    <w:rsid w:val="00654AC0"/>
    <w:rsid w:val="00665989"/>
    <w:rsid w:val="00667090"/>
    <w:rsid w:val="00671483"/>
    <w:rsid w:val="00685D54"/>
    <w:rsid w:val="00685E11"/>
    <w:rsid w:val="00685F84"/>
    <w:rsid w:val="00686299"/>
    <w:rsid w:val="006938F7"/>
    <w:rsid w:val="006952A1"/>
    <w:rsid w:val="006A58B0"/>
    <w:rsid w:val="006A6C30"/>
    <w:rsid w:val="006B148A"/>
    <w:rsid w:val="006B3191"/>
    <w:rsid w:val="006C08A0"/>
    <w:rsid w:val="006D096C"/>
    <w:rsid w:val="006E21C9"/>
    <w:rsid w:val="006E4021"/>
    <w:rsid w:val="006F1A2F"/>
    <w:rsid w:val="007073A2"/>
    <w:rsid w:val="00707856"/>
    <w:rsid w:val="00710DCD"/>
    <w:rsid w:val="00723359"/>
    <w:rsid w:val="0072609B"/>
    <w:rsid w:val="007329C5"/>
    <w:rsid w:val="0073359A"/>
    <w:rsid w:val="00750763"/>
    <w:rsid w:val="00760142"/>
    <w:rsid w:val="00765155"/>
    <w:rsid w:val="00770576"/>
    <w:rsid w:val="00793674"/>
    <w:rsid w:val="007A5BBF"/>
    <w:rsid w:val="007B43E1"/>
    <w:rsid w:val="007B512C"/>
    <w:rsid w:val="007B736C"/>
    <w:rsid w:val="007C3F03"/>
    <w:rsid w:val="007D63F7"/>
    <w:rsid w:val="007E0F4E"/>
    <w:rsid w:val="00806090"/>
    <w:rsid w:val="008114FF"/>
    <w:rsid w:val="00831EEB"/>
    <w:rsid w:val="008566FD"/>
    <w:rsid w:val="00860E05"/>
    <w:rsid w:val="008646FB"/>
    <w:rsid w:val="008665EA"/>
    <w:rsid w:val="00871D32"/>
    <w:rsid w:val="00886A00"/>
    <w:rsid w:val="008932E9"/>
    <w:rsid w:val="008A466B"/>
    <w:rsid w:val="008A683C"/>
    <w:rsid w:val="008B2C98"/>
    <w:rsid w:val="008B5A84"/>
    <w:rsid w:val="008B6253"/>
    <w:rsid w:val="008B795A"/>
    <w:rsid w:val="008C7C51"/>
    <w:rsid w:val="008D0869"/>
    <w:rsid w:val="008D0C79"/>
    <w:rsid w:val="008E4DE8"/>
    <w:rsid w:val="008E5D09"/>
    <w:rsid w:val="008F0D8A"/>
    <w:rsid w:val="008F0FEF"/>
    <w:rsid w:val="008F19C4"/>
    <w:rsid w:val="00901992"/>
    <w:rsid w:val="00907FCD"/>
    <w:rsid w:val="009314C8"/>
    <w:rsid w:val="00931E5C"/>
    <w:rsid w:val="00932034"/>
    <w:rsid w:val="009411F4"/>
    <w:rsid w:val="0094399E"/>
    <w:rsid w:val="009715F6"/>
    <w:rsid w:val="00975785"/>
    <w:rsid w:val="009821B0"/>
    <w:rsid w:val="00984646"/>
    <w:rsid w:val="009960E5"/>
    <w:rsid w:val="009B2772"/>
    <w:rsid w:val="009C2C79"/>
    <w:rsid w:val="009C6CF4"/>
    <w:rsid w:val="009C70F9"/>
    <w:rsid w:val="009D622F"/>
    <w:rsid w:val="009E66FE"/>
    <w:rsid w:val="009F4E3D"/>
    <w:rsid w:val="009F76D5"/>
    <w:rsid w:val="00A00A85"/>
    <w:rsid w:val="00A0585D"/>
    <w:rsid w:val="00A10B43"/>
    <w:rsid w:val="00A10B6C"/>
    <w:rsid w:val="00A115CE"/>
    <w:rsid w:val="00A1257B"/>
    <w:rsid w:val="00A157F5"/>
    <w:rsid w:val="00A16D34"/>
    <w:rsid w:val="00A53BFF"/>
    <w:rsid w:val="00A8167E"/>
    <w:rsid w:val="00A818DB"/>
    <w:rsid w:val="00A8208D"/>
    <w:rsid w:val="00AA5C6E"/>
    <w:rsid w:val="00AB5DC8"/>
    <w:rsid w:val="00AC3176"/>
    <w:rsid w:val="00AC361D"/>
    <w:rsid w:val="00AC4331"/>
    <w:rsid w:val="00AC582D"/>
    <w:rsid w:val="00AC6EFC"/>
    <w:rsid w:val="00AD22FA"/>
    <w:rsid w:val="00AD695D"/>
    <w:rsid w:val="00AF05EB"/>
    <w:rsid w:val="00B01102"/>
    <w:rsid w:val="00B165E3"/>
    <w:rsid w:val="00B24C14"/>
    <w:rsid w:val="00B25E55"/>
    <w:rsid w:val="00B35241"/>
    <w:rsid w:val="00B403DF"/>
    <w:rsid w:val="00B42D2E"/>
    <w:rsid w:val="00B446E3"/>
    <w:rsid w:val="00B44848"/>
    <w:rsid w:val="00B5145F"/>
    <w:rsid w:val="00B51C66"/>
    <w:rsid w:val="00B62EF4"/>
    <w:rsid w:val="00B81958"/>
    <w:rsid w:val="00B81B9B"/>
    <w:rsid w:val="00BA342E"/>
    <w:rsid w:val="00BB0E66"/>
    <w:rsid w:val="00BB55EA"/>
    <w:rsid w:val="00BC185F"/>
    <w:rsid w:val="00BC7F89"/>
    <w:rsid w:val="00BD138E"/>
    <w:rsid w:val="00BD4984"/>
    <w:rsid w:val="00BD5983"/>
    <w:rsid w:val="00BD5A47"/>
    <w:rsid w:val="00BD752D"/>
    <w:rsid w:val="00BE0980"/>
    <w:rsid w:val="00BE6B7B"/>
    <w:rsid w:val="00C03088"/>
    <w:rsid w:val="00C039E6"/>
    <w:rsid w:val="00C157CD"/>
    <w:rsid w:val="00C2039B"/>
    <w:rsid w:val="00C21AB9"/>
    <w:rsid w:val="00C34D16"/>
    <w:rsid w:val="00C4195E"/>
    <w:rsid w:val="00C47146"/>
    <w:rsid w:val="00C61241"/>
    <w:rsid w:val="00C661DB"/>
    <w:rsid w:val="00C94DB3"/>
    <w:rsid w:val="00C963D5"/>
    <w:rsid w:val="00C96BE4"/>
    <w:rsid w:val="00CA3A9E"/>
    <w:rsid w:val="00CB5A05"/>
    <w:rsid w:val="00CC5DF1"/>
    <w:rsid w:val="00CD4D54"/>
    <w:rsid w:val="00CE49ED"/>
    <w:rsid w:val="00CE54B8"/>
    <w:rsid w:val="00CF5D7E"/>
    <w:rsid w:val="00D01AE4"/>
    <w:rsid w:val="00D109FE"/>
    <w:rsid w:val="00D13B82"/>
    <w:rsid w:val="00D173E7"/>
    <w:rsid w:val="00D31A39"/>
    <w:rsid w:val="00D41C2B"/>
    <w:rsid w:val="00D44987"/>
    <w:rsid w:val="00D50CF0"/>
    <w:rsid w:val="00D77CAB"/>
    <w:rsid w:val="00D80AC3"/>
    <w:rsid w:val="00DA396B"/>
    <w:rsid w:val="00DB3B71"/>
    <w:rsid w:val="00DB6E67"/>
    <w:rsid w:val="00DC69C4"/>
    <w:rsid w:val="00DC74BF"/>
    <w:rsid w:val="00DD22A8"/>
    <w:rsid w:val="00DD5B28"/>
    <w:rsid w:val="00DD64BB"/>
    <w:rsid w:val="00DE1CD3"/>
    <w:rsid w:val="00DE3EA5"/>
    <w:rsid w:val="00DE53CC"/>
    <w:rsid w:val="00E05CAE"/>
    <w:rsid w:val="00E11722"/>
    <w:rsid w:val="00E117F2"/>
    <w:rsid w:val="00E120A4"/>
    <w:rsid w:val="00E17A3F"/>
    <w:rsid w:val="00E21A97"/>
    <w:rsid w:val="00E469DD"/>
    <w:rsid w:val="00E476EA"/>
    <w:rsid w:val="00E54454"/>
    <w:rsid w:val="00E706DA"/>
    <w:rsid w:val="00E70D3C"/>
    <w:rsid w:val="00E72150"/>
    <w:rsid w:val="00E744A2"/>
    <w:rsid w:val="00E81792"/>
    <w:rsid w:val="00E84A87"/>
    <w:rsid w:val="00E9438A"/>
    <w:rsid w:val="00EA4101"/>
    <w:rsid w:val="00EA7727"/>
    <w:rsid w:val="00EC06D2"/>
    <w:rsid w:val="00ED3F49"/>
    <w:rsid w:val="00EF0574"/>
    <w:rsid w:val="00F1076F"/>
    <w:rsid w:val="00F1608E"/>
    <w:rsid w:val="00F17253"/>
    <w:rsid w:val="00F20835"/>
    <w:rsid w:val="00F2688E"/>
    <w:rsid w:val="00F4092D"/>
    <w:rsid w:val="00F474A6"/>
    <w:rsid w:val="00F706BD"/>
    <w:rsid w:val="00F832FC"/>
    <w:rsid w:val="00F8414F"/>
    <w:rsid w:val="00F91DB0"/>
    <w:rsid w:val="00FB6CE2"/>
    <w:rsid w:val="00FC7AF7"/>
    <w:rsid w:val="050A331F"/>
    <w:rsid w:val="08D7D2C8"/>
    <w:rsid w:val="17E7476E"/>
    <w:rsid w:val="3264CD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CDC1"/>
  <w15:chartTrackingRefBased/>
  <w15:docId w15:val="{4F8AD5E4-1E73-4A03-87A5-1FCEF3CD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0AC3"/>
    <w:rPr>
      <w:lang w:val="en-GB"/>
    </w:rPr>
  </w:style>
  <w:style w:type="paragraph" w:styleId="berschrift1">
    <w:name w:val="heading 1"/>
    <w:basedOn w:val="Standard"/>
    <w:next w:val="Standard"/>
    <w:link w:val="berschrift1Zchn"/>
    <w:uiPriority w:val="9"/>
    <w:qFormat/>
    <w:rsid w:val="00B3524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5241"/>
    <w:rPr>
      <w:rFonts w:asciiTheme="majorHAnsi" w:eastAsiaTheme="majorEastAsia" w:hAnsiTheme="majorHAnsi" w:cstheme="majorBidi"/>
      <w:color w:val="0F4761" w:themeColor="accent1" w:themeShade="BF"/>
      <w:sz w:val="32"/>
      <w:szCs w:val="32"/>
    </w:rPr>
  </w:style>
  <w:style w:type="paragraph" w:styleId="Kopfzeile">
    <w:name w:val="header"/>
    <w:basedOn w:val="Standard"/>
    <w:link w:val="KopfzeileZchn"/>
    <w:uiPriority w:val="99"/>
    <w:unhideWhenUsed/>
    <w:rsid w:val="00B352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5241"/>
  </w:style>
  <w:style w:type="paragraph" w:styleId="Fuzeile">
    <w:name w:val="footer"/>
    <w:basedOn w:val="Standard"/>
    <w:link w:val="FuzeileZchn"/>
    <w:uiPriority w:val="99"/>
    <w:unhideWhenUsed/>
    <w:rsid w:val="00B352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5241"/>
  </w:style>
  <w:style w:type="character" w:styleId="Hyperlink">
    <w:name w:val="Hyperlink"/>
    <w:basedOn w:val="Absatz-Standardschriftart"/>
    <w:uiPriority w:val="99"/>
    <w:unhideWhenUsed/>
    <w:rsid w:val="00036FD2"/>
    <w:rPr>
      <w:color w:val="467886" w:themeColor="hyperlink"/>
      <w:u w:val="single"/>
    </w:rPr>
  </w:style>
  <w:style w:type="character" w:styleId="NichtaufgelsteErwhnung">
    <w:name w:val="Unresolved Mention"/>
    <w:basedOn w:val="Absatz-Standardschriftart"/>
    <w:uiPriority w:val="99"/>
    <w:semiHidden/>
    <w:unhideWhenUsed/>
    <w:rsid w:val="00036FD2"/>
    <w:rPr>
      <w:color w:val="605E5C"/>
      <w:shd w:val="clear" w:color="auto" w:fill="E1DFDD"/>
    </w:rPr>
  </w:style>
  <w:style w:type="paragraph" w:styleId="Funotentext">
    <w:name w:val="footnote text"/>
    <w:basedOn w:val="Standard"/>
    <w:link w:val="FunotentextZchn"/>
    <w:uiPriority w:val="99"/>
    <w:semiHidden/>
    <w:unhideWhenUsed/>
    <w:rsid w:val="00E476EA"/>
    <w:pPr>
      <w:spacing w:after="0" w:line="240" w:lineRule="auto"/>
      <w:ind w:left="10" w:hanging="10"/>
      <w:jc w:val="both"/>
    </w:pPr>
    <w:rPr>
      <w:rFonts w:ascii="Calibri" w:eastAsia="Calibri" w:hAnsi="Calibri" w:cs="Calibri"/>
      <w:color w:val="221F21"/>
      <w:kern w:val="2"/>
      <w:sz w:val="20"/>
      <w:szCs w:val="20"/>
      <w14:ligatures w14:val="standardContextual"/>
    </w:rPr>
  </w:style>
  <w:style w:type="character" w:customStyle="1" w:styleId="FunotentextZchn">
    <w:name w:val="Fußnotentext Zchn"/>
    <w:basedOn w:val="Absatz-Standardschriftart"/>
    <w:link w:val="Funotentext"/>
    <w:uiPriority w:val="99"/>
    <w:semiHidden/>
    <w:rsid w:val="00E476EA"/>
    <w:rPr>
      <w:rFonts w:ascii="Calibri" w:eastAsia="Calibri" w:hAnsi="Calibri" w:cs="Calibri"/>
      <w:color w:val="221F21"/>
      <w:kern w:val="2"/>
      <w:sz w:val="20"/>
      <w:szCs w:val="20"/>
      <w:lang w:val="en-GB"/>
      <w14:ligatures w14:val="standardContextual"/>
    </w:rPr>
  </w:style>
  <w:style w:type="character" w:styleId="Funotenzeichen">
    <w:name w:val="footnote reference"/>
    <w:basedOn w:val="Absatz-Standardschriftart"/>
    <w:uiPriority w:val="99"/>
    <w:semiHidden/>
    <w:unhideWhenUsed/>
    <w:rsid w:val="00E476EA"/>
    <w:rPr>
      <w:vertAlign w:val="superscript"/>
    </w:rPr>
  </w:style>
  <w:style w:type="table" w:styleId="Tabellenraster">
    <w:name w:val="Table Grid"/>
    <w:basedOn w:val="NormaleTabelle"/>
    <w:uiPriority w:val="39"/>
    <w:rsid w:val="00E476EA"/>
    <w:pPr>
      <w:spacing w:after="0" w:line="240" w:lineRule="auto"/>
    </w:pPr>
    <w:rPr>
      <w:rFonts w:eastAsiaTheme="minorEastAsia"/>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22674"/>
    <w:pPr>
      <w:spacing w:after="159" w:line="248" w:lineRule="auto"/>
      <w:ind w:left="720" w:hanging="10"/>
      <w:contextualSpacing/>
      <w:jc w:val="both"/>
    </w:pPr>
    <w:rPr>
      <w:rFonts w:ascii="Calibri" w:eastAsia="Calibri" w:hAnsi="Calibri" w:cs="Calibri"/>
      <w:color w:val="221F21"/>
      <w:kern w:val="2"/>
      <w:sz w:val="22"/>
      <w:lang/>
      <w14:ligatures w14:val="standardContextual"/>
    </w:rPr>
  </w:style>
  <w:style w:type="character" w:styleId="BesuchterLink">
    <w:name w:val="FollowedHyperlink"/>
    <w:basedOn w:val="Absatz-Standardschriftart"/>
    <w:uiPriority w:val="99"/>
    <w:semiHidden/>
    <w:unhideWhenUsed/>
    <w:rsid w:val="00886A00"/>
    <w:rPr>
      <w:color w:val="96607D" w:themeColor="followedHyperlink"/>
      <w:u w:val="single"/>
    </w:rPr>
  </w:style>
  <w:style w:type="table" w:styleId="Gitternetztabelle2Akzent1">
    <w:name w:val="Grid Table 2 Accent 1"/>
    <w:basedOn w:val="NormaleTabelle"/>
    <w:uiPriority w:val="47"/>
    <w:rsid w:val="0006542B"/>
    <w:pPr>
      <w:spacing w:after="0" w:line="240" w:lineRule="auto"/>
    </w:pPr>
    <w:rPr>
      <w:rFonts w:eastAsiaTheme="minorEastAsia"/>
      <w:lang w:val="en-US" w:eastAsia="ja-JP"/>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il.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nil.e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mployment-social-affairs.ec.europa.eu/policies-and-activities/social-protection-social-inclusion/social-protection/long-term-care_en" TargetMode="External"/><Relationship Id="rId13" Type="http://schemas.openxmlformats.org/officeDocument/2006/relationships/hyperlink" Target="https://easpd.eu/fileadmin/user_upload/Publications/Fostering_Employment_through_Sheltered_Workshops_Reality__Trends_and_Next_Steps_2.pdf" TargetMode="External"/><Relationship Id="rId18" Type="http://schemas.openxmlformats.org/officeDocument/2006/relationships/hyperlink" Target="https://competition-policy.ec.europa.eu/document/download/13d86416-7f23-466e-83aa-0af8105b72d2_en?filename=empty_file_en.pdf" TargetMode="External"/><Relationship Id="rId3" Type="http://schemas.openxmlformats.org/officeDocument/2006/relationships/hyperlink" Target="https://enil.eu/independent-living/" TargetMode="External"/><Relationship Id="rId21" Type="http://schemas.openxmlformats.org/officeDocument/2006/relationships/hyperlink" Target="https://digitallibrary.un.org/record/4080772?v=pdf" TargetMode="External"/><Relationship Id="rId7" Type="http://schemas.openxmlformats.org/officeDocument/2006/relationships/hyperlink" Target="https://www.oecd.org/en/publications/health-at-a-glance-2023_7a7afb35-en/full-report/long-term-care-spending-and-unit-costs_cc989a20.html" TargetMode="External"/><Relationship Id="rId12" Type="http://schemas.openxmlformats.org/officeDocument/2006/relationships/hyperlink" Target="https://www.cittametropolitana.mi.it/export/sites/default/lavoro/pdf/emergo/Programmazione-emergo/Masterplan-EMERGO-2025.pdf" TargetMode="External"/><Relationship Id="rId17" Type="http://schemas.openxmlformats.org/officeDocument/2006/relationships/hyperlink" Target="https://eur-lex.europa.eu/legal-content/EN/ALL/?uri=CELEX:02014R0651-20230701" TargetMode="External"/><Relationship Id="rId2" Type="http://schemas.openxmlformats.org/officeDocument/2006/relationships/hyperlink" Target="https://ec.europa.eu/eurostat/statistics-explained/index.php?title=Disability_statistics_-_poverty_and_income_inequalities" TargetMode="External"/><Relationship Id="rId16" Type="http://schemas.openxmlformats.org/officeDocument/2006/relationships/hyperlink" Target="https://competition-policy.ec.europa.eu/document/download/13d86416-7f23-466e-83aa-0af8105b72d2_en?filename=empty_file_en.pdf" TargetMode="External"/><Relationship Id="rId20" Type="http://schemas.openxmlformats.org/officeDocument/2006/relationships/hyperlink" Target="https://enil.eu/wp-content/uploads/2025/10/New-policy-pathways-for-the-labour-market-inclusion-of-disabled-people.pdf" TargetMode="External"/><Relationship Id="rId1" Type="http://schemas.openxmlformats.org/officeDocument/2006/relationships/hyperlink" Target="https://ec.europa.eu/eurostat/statistics-explained/index.php?title=Disability_statistics_-_poverty_and_income_inequalities" TargetMode="External"/><Relationship Id="rId6" Type="http://schemas.openxmlformats.org/officeDocument/2006/relationships/hyperlink" Target="https://www.eurofound.europa.eu/en/publications/all/paths-towards-independent-living-and-social-inclusion-europe" TargetMode="External"/><Relationship Id="rId11" Type="http://schemas.openxmlformats.org/officeDocument/2006/relationships/hyperlink" Target="https://www.cittametropolitana.mi.it/lavoro/piano-metropolitano-per-loccupazione-dei-disabili/index.html" TargetMode="External"/><Relationship Id="rId5" Type="http://schemas.openxmlformats.org/officeDocument/2006/relationships/hyperlink" Target="https://ec.europa.eu/eurostat/statistics-explained/index.php?title=Job_vacancy_statistics" TargetMode="External"/><Relationship Id="rId15" Type="http://schemas.openxmlformats.org/officeDocument/2006/relationships/hyperlink" Target="https://competition-policy.ec.europa.eu/public-consultations/2026-gber_en" TargetMode="External"/><Relationship Id="rId23" Type="http://schemas.openxmlformats.org/officeDocument/2006/relationships/hyperlink" Target="https://eur-lex.europa.eu/eli/dec/2025/2630/oj/eng" TargetMode="External"/><Relationship Id="rId10" Type="http://schemas.openxmlformats.org/officeDocument/2006/relationships/hyperlink" Target="https://op.europa.eu/en/publication-detail/-/publication/1cc9efd9-1b5d-11f0-b1a3-01aa75ed71a1/language-en" TargetMode="External"/><Relationship Id="rId19" Type="http://schemas.openxmlformats.org/officeDocument/2006/relationships/hyperlink" Target="https://enil.eu/reforming-eu-state-aid-law-to-restrict-subsidies-to-sheltered-workshops/" TargetMode="External"/><Relationship Id="rId4" Type="http://schemas.openxmlformats.org/officeDocument/2006/relationships/hyperlink" Target="https://ec.europa.eu/eurostat/databrowser/view/spr_exp_type/default/table?lang=en&amp;category=spr.spr_exp" TargetMode="External"/><Relationship Id="rId9" Type="http://schemas.openxmlformats.org/officeDocument/2006/relationships/hyperlink" Target="https://www.eurofound.europa.eu/en/publications/all/disability-and-labour-market-integration-policy-trends-and-support-eu-member" TargetMode="External"/><Relationship Id="rId14" Type="http://schemas.openxmlformats.org/officeDocument/2006/relationships/hyperlink" Target="https://eur-lex.europa.eu/legal-content/EN/TXT/?uri=legissum:0802_4" TargetMode="External"/><Relationship Id="rId22" Type="http://schemas.openxmlformats.org/officeDocument/2006/relationships/hyperlink" Target="https://eur-lex.europa.eu/legal-content/EN/TXT/PDF/?uri=CELEX:52025DC1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8B032-EBCB-4A18-9DD5-425EB613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2545</Words>
  <Characters>14511</Characters>
  <Application>Microsoft Office Word</Application>
  <DocSecurity>0</DocSecurity>
  <Lines>120</Lines>
  <Paragraphs>34</Paragraphs>
  <ScaleCrop>false</ScaleCrop>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Sanden</dc:creator>
  <cp:keywords/>
  <dc:description/>
  <cp:lastModifiedBy>Florian Sanden</cp:lastModifiedBy>
  <cp:revision>271</cp:revision>
  <cp:lastPrinted>2026-06-03T16:03:00Z</cp:lastPrinted>
  <dcterms:created xsi:type="dcterms:W3CDTF">2026-05-29T16:54:00Z</dcterms:created>
  <dcterms:modified xsi:type="dcterms:W3CDTF">2026-06-03T16:03:00Z</dcterms:modified>
</cp:coreProperties>
</file>